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2D8B" w14:textId="26940D0C" w:rsidR="00CA1655" w:rsidRDefault="00CA1655" w:rsidP="00CA1655">
      <w:pPr>
        <w:jc w:val="center"/>
        <w:rPr>
          <w:b/>
          <w:sz w:val="32"/>
          <w:szCs w:val="32"/>
        </w:rPr>
      </w:pPr>
    </w:p>
    <w:p w14:paraId="18C544D4" w14:textId="77777777" w:rsidR="001D7F77" w:rsidRDefault="001D7F77" w:rsidP="00CA1655">
      <w:pPr>
        <w:jc w:val="center"/>
        <w:rPr>
          <w:b/>
          <w:sz w:val="32"/>
          <w:szCs w:val="32"/>
        </w:rPr>
      </w:pPr>
    </w:p>
    <w:p w14:paraId="224BFD26" w14:textId="77777777" w:rsidR="00CA1655" w:rsidRDefault="00CA1655" w:rsidP="00CA1655">
      <w:pPr>
        <w:jc w:val="center"/>
        <w:rPr>
          <w:b/>
          <w:sz w:val="32"/>
          <w:szCs w:val="32"/>
        </w:rPr>
      </w:pPr>
    </w:p>
    <w:p w14:paraId="583B5180" w14:textId="77777777" w:rsidR="00CA1655" w:rsidRDefault="00CA1655" w:rsidP="00287990">
      <w:pPr>
        <w:rPr>
          <w:b/>
          <w:sz w:val="32"/>
          <w:szCs w:val="32"/>
        </w:rPr>
      </w:pPr>
    </w:p>
    <w:p w14:paraId="76B28C44" w14:textId="77777777" w:rsidR="00A27AF1" w:rsidRDefault="00A27AF1" w:rsidP="00287990">
      <w:pPr>
        <w:rPr>
          <w:b/>
          <w:sz w:val="32"/>
          <w:szCs w:val="32"/>
        </w:rPr>
      </w:pPr>
    </w:p>
    <w:p w14:paraId="778DE58F" w14:textId="7326D6A5" w:rsidR="008B63A2" w:rsidRDefault="008B63A2" w:rsidP="008B63A2">
      <w:pPr>
        <w:spacing w:line="276" w:lineRule="auto"/>
        <w:jc w:val="center"/>
        <w:rPr>
          <w:b/>
          <w:sz w:val="32"/>
          <w:szCs w:val="32"/>
        </w:rPr>
      </w:pPr>
      <w:r>
        <w:rPr>
          <w:b/>
          <w:sz w:val="32"/>
          <w:szCs w:val="32"/>
        </w:rPr>
        <w:t>Risk Management Plan</w:t>
      </w:r>
    </w:p>
    <w:p w14:paraId="19AC9D6E" w14:textId="77777777" w:rsidR="008B63A2" w:rsidRDefault="008B63A2" w:rsidP="008B63A2">
      <w:pPr>
        <w:spacing w:line="276" w:lineRule="auto"/>
        <w:jc w:val="center"/>
        <w:rPr>
          <w:b/>
          <w:sz w:val="32"/>
          <w:szCs w:val="32"/>
        </w:rPr>
      </w:pPr>
      <w:r>
        <w:rPr>
          <w:b/>
          <w:sz w:val="32"/>
          <w:szCs w:val="32"/>
        </w:rPr>
        <w:t>f</w:t>
      </w:r>
      <w:r w:rsidRPr="00F32AB3">
        <w:rPr>
          <w:b/>
          <w:sz w:val="32"/>
          <w:szCs w:val="32"/>
        </w:rPr>
        <w:t xml:space="preserve">or </w:t>
      </w:r>
    </w:p>
    <w:p w14:paraId="0E204FD1" w14:textId="77777777" w:rsidR="008B63A2" w:rsidRDefault="008B63A2" w:rsidP="008B63A2">
      <w:pPr>
        <w:spacing w:line="276" w:lineRule="auto"/>
        <w:jc w:val="center"/>
        <w:rPr>
          <w:b/>
          <w:sz w:val="32"/>
          <w:szCs w:val="32"/>
        </w:rPr>
      </w:pPr>
      <w:bookmarkStart w:id="0" w:name="_Hlk6484032"/>
      <w:r w:rsidRPr="00F32AB3">
        <w:rPr>
          <w:b/>
          <w:sz w:val="32"/>
          <w:szCs w:val="32"/>
        </w:rPr>
        <w:t xml:space="preserve">Lattice QCD </w:t>
      </w:r>
      <w:r>
        <w:rPr>
          <w:b/>
          <w:sz w:val="32"/>
          <w:szCs w:val="32"/>
        </w:rPr>
        <w:t>Research Program</w:t>
      </w:r>
      <w:r w:rsidRPr="00F32AB3">
        <w:rPr>
          <w:b/>
          <w:sz w:val="32"/>
          <w:szCs w:val="32"/>
        </w:rPr>
        <w:t xml:space="preserve"> </w:t>
      </w:r>
      <w:r>
        <w:rPr>
          <w:b/>
          <w:sz w:val="32"/>
          <w:szCs w:val="32"/>
        </w:rPr>
        <w:t>Extension III</w:t>
      </w:r>
      <w:bookmarkEnd w:id="0"/>
    </w:p>
    <w:p w14:paraId="08A2CA03" w14:textId="77777777" w:rsidR="008B63A2" w:rsidRPr="00F32AB3" w:rsidRDefault="008B63A2" w:rsidP="008B63A2">
      <w:pPr>
        <w:jc w:val="center"/>
        <w:rPr>
          <w:b/>
          <w:sz w:val="32"/>
          <w:szCs w:val="32"/>
        </w:rPr>
      </w:pPr>
    </w:p>
    <w:p w14:paraId="682C9AB2" w14:textId="77777777" w:rsidR="008B63A2" w:rsidRPr="003E3713" w:rsidRDefault="008B63A2" w:rsidP="008B63A2">
      <w:pPr>
        <w:jc w:val="center"/>
        <w:rPr>
          <w:b/>
          <w:sz w:val="32"/>
          <w:szCs w:val="32"/>
        </w:rPr>
      </w:pPr>
      <w:bookmarkStart w:id="1" w:name="_Hlk6483976"/>
      <w:r w:rsidRPr="003E3713">
        <w:rPr>
          <w:b/>
        </w:rPr>
        <w:t xml:space="preserve">Unique Project (Investment) Identifier: </w:t>
      </w:r>
      <w:r>
        <w:rPr>
          <w:b/>
        </w:rPr>
        <w:t>019-20-01-21-02</w:t>
      </w:r>
      <w:r w:rsidRPr="003E3713">
        <w:rPr>
          <w:b/>
        </w:rPr>
        <w:t>-1032-00</w:t>
      </w:r>
    </w:p>
    <w:bookmarkEnd w:id="1"/>
    <w:p w14:paraId="1237950E" w14:textId="77777777" w:rsidR="008B63A2" w:rsidRDefault="008B63A2" w:rsidP="008B63A2">
      <w:pPr>
        <w:jc w:val="center"/>
      </w:pPr>
    </w:p>
    <w:p w14:paraId="795DED42" w14:textId="77777777" w:rsidR="008B63A2" w:rsidRDefault="008B63A2" w:rsidP="008B63A2">
      <w:pPr>
        <w:jc w:val="center"/>
      </w:pPr>
    </w:p>
    <w:p w14:paraId="2363FF81" w14:textId="77777777" w:rsidR="008B63A2" w:rsidRDefault="008B63A2" w:rsidP="008B63A2">
      <w:pPr>
        <w:jc w:val="center"/>
      </w:pPr>
    </w:p>
    <w:p w14:paraId="4E4DBB86" w14:textId="77777777" w:rsidR="008B63A2" w:rsidRPr="007A0CB9" w:rsidRDefault="008B63A2" w:rsidP="008B63A2">
      <w:pPr>
        <w:jc w:val="center"/>
        <w:rPr>
          <w:i/>
        </w:rPr>
      </w:pPr>
      <w:r w:rsidRPr="007A0CB9">
        <w:rPr>
          <w:i/>
        </w:rPr>
        <w:t>Operated at</w:t>
      </w:r>
    </w:p>
    <w:p w14:paraId="171FDE59" w14:textId="77777777" w:rsidR="008B63A2" w:rsidRPr="007A0CB9" w:rsidRDefault="008B63A2" w:rsidP="008B63A2">
      <w:pPr>
        <w:jc w:val="center"/>
      </w:pPr>
      <w:r w:rsidRPr="007A0CB9">
        <w:t>Brookhaven National Laboratory</w:t>
      </w:r>
    </w:p>
    <w:p w14:paraId="3CA1A791" w14:textId="77777777" w:rsidR="008B63A2" w:rsidRPr="007A0CB9" w:rsidRDefault="008B63A2" w:rsidP="008B63A2">
      <w:pPr>
        <w:jc w:val="center"/>
        <w:rPr>
          <w:lang w:val="it-IT"/>
        </w:rPr>
      </w:pPr>
      <w:r w:rsidRPr="007A0CB9">
        <w:rPr>
          <w:lang w:val="it-IT"/>
        </w:rPr>
        <w:t>Fermi National Accelerator Laboratory</w:t>
      </w:r>
    </w:p>
    <w:p w14:paraId="20A63819" w14:textId="77777777" w:rsidR="008B63A2" w:rsidRDefault="008B63A2" w:rsidP="008B63A2">
      <w:pPr>
        <w:jc w:val="center"/>
      </w:pPr>
    </w:p>
    <w:p w14:paraId="23C2E96E" w14:textId="77777777" w:rsidR="008B63A2" w:rsidRPr="007A0CB9" w:rsidRDefault="008B63A2" w:rsidP="008B63A2">
      <w:pPr>
        <w:jc w:val="center"/>
        <w:rPr>
          <w:i/>
        </w:rPr>
      </w:pPr>
      <w:r>
        <w:rPr>
          <w:i/>
        </w:rPr>
        <w:t>f</w:t>
      </w:r>
      <w:r w:rsidRPr="007A0CB9">
        <w:rPr>
          <w:i/>
        </w:rPr>
        <w:t xml:space="preserve">or the </w:t>
      </w:r>
    </w:p>
    <w:p w14:paraId="0781EC58" w14:textId="77777777" w:rsidR="008B63A2" w:rsidRPr="007A0CB9" w:rsidRDefault="008B63A2" w:rsidP="008B63A2">
      <w:pPr>
        <w:jc w:val="center"/>
      </w:pPr>
      <w:r w:rsidRPr="007A0CB9">
        <w:t>U.S. Department of Energy</w:t>
      </w:r>
    </w:p>
    <w:p w14:paraId="1E54951B" w14:textId="77777777" w:rsidR="008B63A2" w:rsidRPr="007A0CB9" w:rsidRDefault="008B63A2" w:rsidP="008B63A2">
      <w:pPr>
        <w:jc w:val="center"/>
      </w:pPr>
      <w:r w:rsidRPr="007A0CB9">
        <w:t>Office of Science</w:t>
      </w:r>
      <w:r>
        <w:t xml:space="preserve"> and </w:t>
      </w:r>
      <w:r w:rsidRPr="007A0CB9">
        <w:t xml:space="preserve">High Energy </w:t>
      </w:r>
    </w:p>
    <w:p w14:paraId="2DE8FBEF" w14:textId="77777777" w:rsidR="008B63A2" w:rsidRPr="007A0CB9" w:rsidRDefault="008B63A2" w:rsidP="008B63A2">
      <w:pPr>
        <w:jc w:val="center"/>
      </w:pPr>
    </w:p>
    <w:p w14:paraId="5E15D278" w14:textId="77777777" w:rsidR="008B63A2" w:rsidRDefault="008B63A2" w:rsidP="008B63A2">
      <w:pPr>
        <w:jc w:val="center"/>
        <w:rPr>
          <w:b/>
        </w:rPr>
      </w:pPr>
    </w:p>
    <w:p w14:paraId="06382CD9" w14:textId="77777777" w:rsidR="008B63A2" w:rsidRPr="00927902" w:rsidRDefault="008B63A2" w:rsidP="008B63A2">
      <w:pPr>
        <w:jc w:val="center"/>
        <w:rPr>
          <w:b/>
        </w:rPr>
      </w:pPr>
    </w:p>
    <w:p w14:paraId="341D3FD9" w14:textId="5EF24AAF" w:rsidR="008B63A2" w:rsidRPr="007A0CB9" w:rsidRDefault="008B63A2" w:rsidP="008B63A2">
      <w:pPr>
        <w:jc w:val="center"/>
      </w:pPr>
      <w:r>
        <w:t>Version</w:t>
      </w:r>
      <w:r w:rsidRPr="007A0CB9">
        <w:t xml:space="preserve"> </w:t>
      </w:r>
      <w:r w:rsidR="002B1AD1">
        <w:t>0</w:t>
      </w:r>
    </w:p>
    <w:p w14:paraId="61273874" w14:textId="77777777" w:rsidR="008B63A2" w:rsidRDefault="008B63A2" w:rsidP="008B63A2">
      <w:pPr>
        <w:jc w:val="center"/>
      </w:pPr>
    </w:p>
    <w:p w14:paraId="38ADA510" w14:textId="5573306E" w:rsidR="008B63A2" w:rsidRPr="00927902" w:rsidRDefault="00FE35D7" w:rsidP="008B63A2">
      <w:pPr>
        <w:jc w:val="center"/>
        <w:rPr>
          <w:b/>
        </w:rPr>
      </w:pPr>
      <w:r>
        <w:t>March 28, 2023</w:t>
      </w:r>
    </w:p>
    <w:p w14:paraId="78A2385E" w14:textId="77777777" w:rsidR="008B63A2" w:rsidRDefault="008B63A2" w:rsidP="008B63A2">
      <w:pPr>
        <w:jc w:val="center"/>
        <w:rPr>
          <w:b/>
        </w:rPr>
      </w:pPr>
    </w:p>
    <w:p w14:paraId="02595B06" w14:textId="77777777" w:rsidR="008B63A2" w:rsidRDefault="008B63A2" w:rsidP="008B63A2">
      <w:pPr>
        <w:jc w:val="center"/>
        <w:rPr>
          <w:b/>
        </w:rPr>
      </w:pPr>
    </w:p>
    <w:p w14:paraId="3905A5CF" w14:textId="77777777" w:rsidR="008B63A2" w:rsidRPr="00822A25" w:rsidRDefault="008B63A2" w:rsidP="008B63A2">
      <w:pPr>
        <w:jc w:val="center"/>
        <w:rPr>
          <w:b/>
        </w:rPr>
      </w:pPr>
    </w:p>
    <w:p w14:paraId="07AE5FF1" w14:textId="77777777" w:rsidR="008B63A2" w:rsidRDefault="008B63A2" w:rsidP="008B63A2">
      <w:r>
        <w:t>PREPARED BY:</w:t>
      </w:r>
    </w:p>
    <w:p w14:paraId="47A35779" w14:textId="77777777" w:rsidR="008B63A2" w:rsidRDefault="008B63A2" w:rsidP="008B63A2">
      <w:r>
        <w:t xml:space="preserve">Josephine Fazio, FNAL </w:t>
      </w:r>
    </w:p>
    <w:p w14:paraId="605F9C44" w14:textId="77777777" w:rsidR="008B63A2" w:rsidRDefault="008B63A2" w:rsidP="008B63A2"/>
    <w:p w14:paraId="176BBE55" w14:textId="77777777" w:rsidR="000B6F66" w:rsidRDefault="000B6F66" w:rsidP="00CA1655"/>
    <w:p w14:paraId="1B7182CC" w14:textId="77777777" w:rsidR="000B6F66" w:rsidRDefault="000B6F66" w:rsidP="00CA1655"/>
    <w:p w14:paraId="6CB37D43" w14:textId="77777777" w:rsidR="00CA1655" w:rsidRPr="000B6F66" w:rsidRDefault="000B6F66" w:rsidP="000B6F66">
      <w:pPr>
        <w:rPr>
          <w:b/>
        </w:rPr>
      </w:pPr>
      <w:r>
        <w:t>CONCURRENCE</w:t>
      </w:r>
      <w:r w:rsidR="00CA1655">
        <w:t xml:space="preserve">:  </w:t>
      </w:r>
    </w:p>
    <w:p w14:paraId="3CD9532C" w14:textId="2B4B670B" w:rsidR="00BF1E5D" w:rsidRDefault="00BF1E5D" w:rsidP="00EB4627"/>
    <w:p w14:paraId="13E319B9" w14:textId="471378F1" w:rsidR="009664CA" w:rsidRDefault="009664CA" w:rsidP="00EB4627">
      <w:r>
        <w:tab/>
      </w:r>
      <w:r>
        <w:tab/>
      </w:r>
      <w:r>
        <w:tab/>
      </w:r>
      <w:r w:rsidR="00FE35D7">
        <w:tab/>
      </w:r>
      <w:r w:rsidR="00FE35D7">
        <w:tab/>
      </w:r>
      <w:r w:rsidR="00FE35D7">
        <w:tab/>
      </w:r>
    </w:p>
    <w:p w14:paraId="7858A51C" w14:textId="3C04E281" w:rsidR="00BF1E5D" w:rsidRPr="00FE35D7" w:rsidRDefault="00FE35D7" w:rsidP="00EB4627">
      <w:pPr>
        <w:rPr>
          <w:u w:val="single"/>
        </w:rPr>
      </w:pPr>
      <w:r w:rsidRPr="00FE35D7">
        <w:rPr>
          <w:rFonts w:ascii="STXingkai" w:eastAsia="STXingkai" w:hint="eastAsia"/>
          <w:sz w:val="36"/>
          <w:szCs w:val="36"/>
          <w:u w:val="single"/>
        </w:rPr>
        <w:t>Josephine Fazio</w:t>
      </w:r>
      <w:r>
        <w:tab/>
      </w:r>
      <w:r w:rsidR="00BF1E5D">
        <w:tab/>
      </w:r>
      <w:r w:rsidR="00BF1E5D">
        <w:tab/>
      </w:r>
      <w:r>
        <w:tab/>
      </w:r>
      <w:r w:rsidRPr="00FE35D7">
        <w:rPr>
          <w:u w:val="single"/>
        </w:rPr>
        <w:t>March 28, 2023</w:t>
      </w:r>
    </w:p>
    <w:p w14:paraId="7BC3131D" w14:textId="47607021" w:rsidR="00BF1E5D" w:rsidRDefault="00FE35D7" w:rsidP="00EB4627">
      <w:r>
        <w:t>Josephine Fazio</w:t>
      </w:r>
      <w:r w:rsidR="00BF1E5D">
        <w:tab/>
      </w:r>
      <w:r w:rsidR="00BF1E5D">
        <w:tab/>
      </w:r>
      <w:r w:rsidR="00BF1E5D">
        <w:tab/>
      </w:r>
      <w:r w:rsidR="002A5478">
        <w:tab/>
      </w:r>
      <w:r w:rsidR="00BF1E5D">
        <w:t>Date</w:t>
      </w:r>
      <w:r w:rsidR="00BF1E5D">
        <w:tab/>
      </w:r>
      <w:r w:rsidR="00BF1E5D">
        <w:tab/>
      </w:r>
      <w:r w:rsidR="00BF1E5D">
        <w:tab/>
      </w:r>
    </w:p>
    <w:p w14:paraId="05C127C4" w14:textId="6DE35273" w:rsidR="00BF1E5D" w:rsidRDefault="002A5A91" w:rsidP="00EB4627">
      <w:r>
        <w:t>LQCD-ext I</w:t>
      </w:r>
      <w:r w:rsidR="008B63A2">
        <w:t>I</w:t>
      </w:r>
      <w:r>
        <w:t>I</w:t>
      </w:r>
      <w:r w:rsidR="00BF1E5D">
        <w:t xml:space="preserve"> Contract Project Manager</w:t>
      </w:r>
      <w:r w:rsidR="00BF1E5D">
        <w:tab/>
      </w:r>
      <w:r w:rsidR="00BF1E5D">
        <w:tab/>
      </w:r>
      <w:r w:rsidR="00BF1E5D">
        <w:tab/>
      </w:r>
      <w:r w:rsidR="00BF1E5D">
        <w:tab/>
      </w:r>
    </w:p>
    <w:p w14:paraId="5E1F30CA" w14:textId="35DCA52A" w:rsidR="00EB4627" w:rsidRPr="00EB4627" w:rsidRDefault="0063726E" w:rsidP="002A5478">
      <w:pPr>
        <w:jc w:val="center"/>
      </w:pPr>
      <w:r>
        <w:br w:type="page"/>
      </w:r>
      <w:r w:rsidR="002A5A91" w:rsidRPr="00EB4627" w:rsidDel="002A5A91">
        <w:rPr>
          <w:b/>
        </w:rPr>
        <w:lastRenderedPageBreak/>
        <w:t xml:space="preserve"> </w:t>
      </w:r>
      <w:r w:rsidR="002A5A91">
        <w:rPr>
          <w:b/>
        </w:rPr>
        <w:t>LQCD-ext II</w:t>
      </w:r>
      <w:r w:rsidR="00E417DC">
        <w:rPr>
          <w:b/>
        </w:rPr>
        <w:t>I</w:t>
      </w:r>
      <w:r w:rsidR="002A5A91">
        <w:rPr>
          <w:b/>
        </w:rPr>
        <w:t xml:space="preserve"> </w:t>
      </w:r>
      <w:r w:rsidR="00CA1655">
        <w:rPr>
          <w:b/>
        </w:rPr>
        <w:t>Risk Manag</w:t>
      </w:r>
      <w:r w:rsidR="005F046C">
        <w:rPr>
          <w:b/>
        </w:rPr>
        <w:t>e</w:t>
      </w:r>
      <w:r w:rsidR="00CA1655">
        <w:rPr>
          <w:b/>
        </w:rPr>
        <w:t>ment</w:t>
      </w:r>
      <w:r w:rsidR="00EB4627" w:rsidRPr="00EB4627">
        <w:rPr>
          <w:b/>
        </w:rPr>
        <w:t xml:space="preserve"> Plan</w:t>
      </w:r>
    </w:p>
    <w:p w14:paraId="6D9FA420" w14:textId="77777777" w:rsidR="00EB4627" w:rsidRPr="00EB4627" w:rsidRDefault="00EB4627" w:rsidP="002A5478">
      <w:pPr>
        <w:jc w:val="center"/>
        <w:rPr>
          <w:b/>
        </w:rPr>
      </w:pPr>
      <w:r w:rsidRPr="00EB4627">
        <w:rPr>
          <w:b/>
        </w:rPr>
        <w:t>Change Log</w:t>
      </w:r>
    </w:p>
    <w:p w14:paraId="20684B4D" w14:textId="77777777" w:rsidR="00EB4627" w:rsidRPr="00EB4627" w:rsidRDefault="00EB4627" w:rsidP="00EB462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70"/>
        <w:gridCol w:w="1998"/>
      </w:tblGrid>
      <w:tr w:rsidR="00EB4627" w:rsidRPr="00EB4627" w14:paraId="43BEA3F3" w14:textId="77777777" w:rsidTr="00A332F3">
        <w:trPr>
          <w:trHeight w:val="422"/>
        </w:trPr>
        <w:tc>
          <w:tcPr>
            <w:tcW w:w="1630" w:type="dxa"/>
            <w:shd w:val="clear" w:color="auto" w:fill="B8CCE4" w:themeFill="accent1" w:themeFillTint="66"/>
            <w:vAlign w:val="center"/>
          </w:tcPr>
          <w:p w14:paraId="5C1D7D32" w14:textId="53270F18" w:rsidR="00EB4627" w:rsidRPr="00EB4627" w:rsidRDefault="008B63A2" w:rsidP="00EB4627">
            <w:pPr>
              <w:rPr>
                <w:b/>
              </w:rPr>
            </w:pPr>
            <w:r>
              <w:rPr>
                <w:b/>
              </w:rPr>
              <w:t xml:space="preserve">Version </w:t>
            </w:r>
            <w:r w:rsidR="00EB4627" w:rsidRPr="00EB4627">
              <w:rPr>
                <w:b/>
              </w:rPr>
              <w:t>No.</w:t>
            </w:r>
          </w:p>
        </w:tc>
        <w:tc>
          <w:tcPr>
            <w:tcW w:w="5670" w:type="dxa"/>
            <w:shd w:val="clear" w:color="auto" w:fill="B8CCE4" w:themeFill="accent1" w:themeFillTint="66"/>
            <w:vAlign w:val="center"/>
          </w:tcPr>
          <w:p w14:paraId="7258D827" w14:textId="73865965" w:rsidR="00EB4627" w:rsidRPr="00EB4627" w:rsidRDefault="00EB4627" w:rsidP="00A332F3">
            <w:pPr>
              <w:jc w:val="center"/>
              <w:rPr>
                <w:b/>
                <w:lang w:val="fr-FR"/>
              </w:rPr>
            </w:pPr>
            <w:r w:rsidRPr="00EB4627">
              <w:rPr>
                <w:b/>
                <w:lang w:val="fr-FR"/>
              </w:rPr>
              <w:t>Description</w:t>
            </w:r>
          </w:p>
        </w:tc>
        <w:tc>
          <w:tcPr>
            <w:tcW w:w="1998" w:type="dxa"/>
            <w:shd w:val="clear" w:color="auto" w:fill="B8CCE4" w:themeFill="accent1" w:themeFillTint="66"/>
            <w:vAlign w:val="center"/>
          </w:tcPr>
          <w:p w14:paraId="55694D13" w14:textId="77777777" w:rsidR="00EB4627" w:rsidRPr="00EB4627" w:rsidRDefault="00EB4627" w:rsidP="00EB4627">
            <w:pPr>
              <w:rPr>
                <w:b/>
                <w:lang w:val="fr-FR"/>
              </w:rPr>
            </w:pPr>
            <w:r w:rsidRPr="00EB4627">
              <w:rPr>
                <w:b/>
                <w:lang w:val="fr-FR"/>
              </w:rPr>
              <w:t>Effective Date</w:t>
            </w:r>
          </w:p>
        </w:tc>
      </w:tr>
      <w:tr w:rsidR="008B63A2" w14:paraId="1B807871" w14:textId="77777777" w:rsidTr="00E22A2E">
        <w:trPr>
          <w:trHeight w:val="576"/>
        </w:trPr>
        <w:tc>
          <w:tcPr>
            <w:tcW w:w="1630" w:type="dxa"/>
          </w:tcPr>
          <w:p w14:paraId="03A47726" w14:textId="5DCD2F6E" w:rsidR="008B63A2" w:rsidRDefault="002B1AD1" w:rsidP="008B63A2">
            <w:pPr>
              <w:jc w:val="center"/>
              <w:rPr>
                <w:lang w:val="fr-FR"/>
              </w:rPr>
            </w:pPr>
            <w:r>
              <w:rPr>
                <w:lang w:val="fr-FR"/>
              </w:rPr>
              <w:t>0</w:t>
            </w:r>
          </w:p>
        </w:tc>
        <w:tc>
          <w:tcPr>
            <w:tcW w:w="5670" w:type="dxa"/>
          </w:tcPr>
          <w:p w14:paraId="577BA66C" w14:textId="15205106" w:rsidR="008B63A2" w:rsidRDefault="00E417DC" w:rsidP="008B63A2">
            <w:r>
              <w:rPr>
                <w:szCs w:val="22"/>
              </w:rPr>
              <w:t>Risk Management Plan updated to reflect LQCD-ext III operations model; r</w:t>
            </w:r>
            <w:r w:rsidR="008B63A2">
              <w:rPr>
                <w:szCs w:val="22"/>
              </w:rPr>
              <w:t>emoved reference to JLab</w:t>
            </w:r>
            <w:r>
              <w:rPr>
                <w:szCs w:val="22"/>
              </w:rPr>
              <w:t>.</w:t>
            </w:r>
            <w:r w:rsidR="008B63A2">
              <w:rPr>
                <w:szCs w:val="22"/>
              </w:rPr>
              <w:t xml:space="preserve"> </w:t>
            </w:r>
          </w:p>
        </w:tc>
        <w:tc>
          <w:tcPr>
            <w:tcW w:w="1998" w:type="dxa"/>
          </w:tcPr>
          <w:p w14:paraId="3DAC7139" w14:textId="293AC5F0" w:rsidR="008B63A2" w:rsidRDefault="008B63A2" w:rsidP="008B63A2">
            <w:r>
              <w:t xml:space="preserve">May 9, 2019 </w:t>
            </w:r>
          </w:p>
        </w:tc>
      </w:tr>
      <w:tr w:rsidR="00BF4AB8" w14:paraId="648FEF01" w14:textId="77777777" w:rsidTr="00E22A2E">
        <w:trPr>
          <w:trHeight w:val="576"/>
        </w:trPr>
        <w:tc>
          <w:tcPr>
            <w:tcW w:w="1630" w:type="dxa"/>
          </w:tcPr>
          <w:p w14:paraId="2A994DA3" w14:textId="323C5833" w:rsidR="00BF4AB8" w:rsidRDefault="00BF4AB8" w:rsidP="00E2558B">
            <w:pPr>
              <w:jc w:val="center"/>
              <w:rPr>
                <w:lang w:val="fr-FR"/>
              </w:rPr>
            </w:pPr>
          </w:p>
        </w:tc>
        <w:tc>
          <w:tcPr>
            <w:tcW w:w="5670" w:type="dxa"/>
          </w:tcPr>
          <w:p w14:paraId="0E35A5FE" w14:textId="22FE614C" w:rsidR="00BF4AB8" w:rsidRDefault="00BF4AB8"/>
        </w:tc>
        <w:tc>
          <w:tcPr>
            <w:tcW w:w="1998" w:type="dxa"/>
          </w:tcPr>
          <w:p w14:paraId="3B2DBBF1" w14:textId="13E75CDB" w:rsidR="00BF4AB8" w:rsidRDefault="00BF4AB8" w:rsidP="00174F0F"/>
        </w:tc>
      </w:tr>
    </w:tbl>
    <w:p w14:paraId="15F26B03" w14:textId="7D4238D3" w:rsidR="00F16D3B" w:rsidRDefault="00F16D3B" w:rsidP="002A5478">
      <w:pPr>
        <w:jc w:val="center"/>
      </w:pPr>
    </w:p>
    <w:p w14:paraId="708AEFF5" w14:textId="77777777" w:rsidR="00D644C1" w:rsidRDefault="00D644C1" w:rsidP="002A5478">
      <w:pPr>
        <w:jc w:val="center"/>
      </w:pPr>
    </w:p>
    <w:p w14:paraId="10000BB7" w14:textId="77777777" w:rsidR="00F16D3B" w:rsidRDefault="00F16D3B" w:rsidP="002A5478">
      <w:pPr>
        <w:jc w:val="center"/>
      </w:pPr>
    </w:p>
    <w:p w14:paraId="6CCE12BE" w14:textId="77777777" w:rsidR="0063726E" w:rsidRPr="002A5478" w:rsidRDefault="0063726E" w:rsidP="002A5478">
      <w:pPr>
        <w:jc w:val="center"/>
        <w:rPr>
          <w:b/>
        </w:rPr>
      </w:pPr>
      <w:r w:rsidRPr="002A5478">
        <w:rPr>
          <w:b/>
        </w:rPr>
        <w:t>Table of Contents</w:t>
      </w:r>
    </w:p>
    <w:p w14:paraId="38B1E3C2" w14:textId="77777777" w:rsidR="00C766F8" w:rsidRDefault="00C766F8" w:rsidP="00EB4627"/>
    <w:p w14:paraId="582A017D" w14:textId="41F75007" w:rsidR="00CB6756" w:rsidRDefault="007243DA">
      <w:pPr>
        <w:pStyle w:val="TOC1"/>
        <w:tabs>
          <w:tab w:val="left" w:pos="480"/>
          <w:tab w:val="right" w:leader="dot" w:pos="9710"/>
        </w:tabs>
        <w:rPr>
          <w:rFonts w:asciiTheme="minorHAnsi" w:eastAsiaTheme="minorEastAsia" w:hAnsiTheme="minorHAnsi" w:cstheme="minorBidi"/>
          <w:noProof/>
          <w:sz w:val="22"/>
          <w:szCs w:val="22"/>
        </w:rPr>
      </w:pPr>
      <w:r>
        <w:rPr>
          <w:sz w:val="22"/>
        </w:rPr>
        <w:fldChar w:fldCharType="begin"/>
      </w:r>
      <w:r w:rsidR="0063726E">
        <w:rPr>
          <w:sz w:val="22"/>
        </w:rPr>
        <w:instrText xml:space="preserve"> TOC \o "1-3" \h \z </w:instrText>
      </w:r>
      <w:r>
        <w:rPr>
          <w:sz w:val="22"/>
        </w:rPr>
        <w:fldChar w:fldCharType="separate"/>
      </w:r>
      <w:hyperlink w:anchor="_Toc10621185" w:history="1">
        <w:r w:rsidR="00CB6756" w:rsidRPr="002672F5">
          <w:rPr>
            <w:rStyle w:val="Hyperlink"/>
            <w:noProof/>
          </w:rPr>
          <w:t>1</w:t>
        </w:r>
        <w:r w:rsidR="00CB6756">
          <w:rPr>
            <w:rFonts w:asciiTheme="minorHAnsi" w:eastAsiaTheme="minorEastAsia" w:hAnsiTheme="minorHAnsi" w:cstheme="minorBidi"/>
            <w:noProof/>
            <w:sz w:val="22"/>
            <w:szCs w:val="22"/>
          </w:rPr>
          <w:tab/>
        </w:r>
        <w:r w:rsidR="00CB6756" w:rsidRPr="002672F5">
          <w:rPr>
            <w:rStyle w:val="Hyperlink"/>
            <w:noProof/>
          </w:rPr>
          <w:t>Introduction</w:t>
        </w:r>
        <w:r w:rsidR="00CB6756">
          <w:rPr>
            <w:noProof/>
            <w:webHidden/>
          </w:rPr>
          <w:tab/>
        </w:r>
        <w:r w:rsidR="00CB6756">
          <w:rPr>
            <w:noProof/>
            <w:webHidden/>
          </w:rPr>
          <w:fldChar w:fldCharType="begin"/>
        </w:r>
        <w:r w:rsidR="00CB6756">
          <w:rPr>
            <w:noProof/>
            <w:webHidden/>
          </w:rPr>
          <w:instrText xml:space="preserve"> PAGEREF _Toc10621185 \h </w:instrText>
        </w:r>
        <w:r w:rsidR="00CB6756">
          <w:rPr>
            <w:noProof/>
            <w:webHidden/>
          </w:rPr>
        </w:r>
        <w:r w:rsidR="00CB6756">
          <w:rPr>
            <w:noProof/>
            <w:webHidden/>
          </w:rPr>
          <w:fldChar w:fldCharType="separate"/>
        </w:r>
        <w:r w:rsidR="00DD7172">
          <w:rPr>
            <w:noProof/>
            <w:webHidden/>
          </w:rPr>
          <w:t>1</w:t>
        </w:r>
        <w:r w:rsidR="00CB6756">
          <w:rPr>
            <w:noProof/>
            <w:webHidden/>
          </w:rPr>
          <w:fldChar w:fldCharType="end"/>
        </w:r>
      </w:hyperlink>
    </w:p>
    <w:p w14:paraId="5E880CD9" w14:textId="15F562D1"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186" w:history="1">
        <w:r w:rsidR="00CB6756" w:rsidRPr="002672F5">
          <w:rPr>
            <w:rStyle w:val="Hyperlink"/>
            <w:noProof/>
          </w:rPr>
          <w:t>2</w:t>
        </w:r>
        <w:r w:rsidR="00CB6756">
          <w:rPr>
            <w:rFonts w:asciiTheme="minorHAnsi" w:eastAsiaTheme="minorEastAsia" w:hAnsiTheme="minorHAnsi" w:cstheme="minorBidi"/>
            <w:noProof/>
            <w:sz w:val="22"/>
            <w:szCs w:val="22"/>
          </w:rPr>
          <w:tab/>
        </w:r>
        <w:r w:rsidR="00CB6756" w:rsidRPr="002672F5">
          <w:rPr>
            <w:rStyle w:val="Hyperlink"/>
            <w:noProof/>
          </w:rPr>
          <w:t>Overview of the Risk Management Plan</w:t>
        </w:r>
        <w:r w:rsidR="00CB6756">
          <w:rPr>
            <w:noProof/>
            <w:webHidden/>
          </w:rPr>
          <w:tab/>
        </w:r>
        <w:r w:rsidR="00CB6756">
          <w:rPr>
            <w:noProof/>
            <w:webHidden/>
          </w:rPr>
          <w:fldChar w:fldCharType="begin"/>
        </w:r>
        <w:r w:rsidR="00CB6756">
          <w:rPr>
            <w:noProof/>
            <w:webHidden/>
          </w:rPr>
          <w:instrText xml:space="preserve"> PAGEREF _Toc10621186 \h </w:instrText>
        </w:r>
        <w:r w:rsidR="00CB6756">
          <w:rPr>
            <w:noProof/>
            <w:webHidden/>
          </w:rPr>
        </w:r>
        <w:r w:rsidR="00CB6756">
          <w:rPr>
            <w:noProof/>
            <w:webHidden/>
          </w:rPr>
          <w:fldChar w:fldCharType="separate"/>
        </w:r>
        <w:r w:rsidR="00DD7172">
          <w:rPr>
            <w:noProof/>
            <w:webHidden/>
          </w:rPr>
          <w:t>1</w:t>
        </w:r>
        <w:r w:rsidR="00CB6756">
          <w:rPr>
            <w:noProof/>
            <w:webHidden/>
          </w:rPr>
          <w:fldChar w:fldCharType="end"/>
        </w:r>
      </w:hyperlink>
    </w:p>
    <w:p w14:paraId="2461C503" w14:textId="0771A8E1"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187" w:history="1">
        <w:r w:rsidR="00CB6756" w:rsidRPr="002672F5">
          <w:rPr>
            <w:rStyle w:val="Hyperlink"/>
            <w:noProof/>
          </w:rPr>
          <w:t>2.1</w:t>
        </w:r>
        <w:r w:rsidR="00CB6756">
          <w:rPr>
            <w:rFonts w:asciiTheme="minorHAnsi" w:eastAsiaTheme="minorEastAsia" w:hAnsiTheme="minorHAnsi" w:cstheme="minorBidi"/>
            <w:noProof/>
            <w:sz w:val="22"/>
            <w:szCs w:val="22"/>
          </w:rPr>
          <w:tab/>
        </w:r>
        <w:r w:rsidR="00CB6756" w:rsidRPr="002672F5">
          <w:rPr>
            <w:rStyle w:val="Hyperlink"/>
            <w:noProof/>
          </w:rPr>
          <w:t>Purpose and Objective</w:t>
        </w:r>
        <w:r w:rsidR="00CB6756">
          <w:rPr>
            <w:noProof/>
            <w:webHidden/>
          </w:rPr>
          <w:tab/>
        </w:r>
        <w:r w:rsidR="00CB6756">
          <w:rPr>
            <w:noProof/>
            <w:webHidden/>
          </w:rPr>
          <w:fldChar w:fldCharType="begin"/>
        </w:r>
        <w:r w:rsidR="00CB6756">
          <w:rPr>
            <w:noProof/>
            <w:webHidden/>
          </w:rPr>
          <w:instrText xml:space="preserve"> PAGEREF _Toc10621187 \h </w:instrText>
        </w:r>
        <w:r w:rsidR="00CB6756">
          <w:rPr>
            <w:noProof/>
            <w:webHidden/>
          </w:rPr>
        </w:r>
        <w:r w:rsidR="00CB6756">
          <w:rPr>
            <w:noProof/>
            <w:webHidden/>
          </w:rPr>
          <w:fldChar w:fldCharType="separate"/>
        </w:r>
        <w:r w:rsidR="00DD7172">
          <w:rPr>
            <w:noProof/>
            <w:webHidden/>
          </w:rPr>
          <w:t>1</w:t>
        </w:r>
        <w:r w:rsidR="00CB6756">
          <w:rPr>
            <w:noProof/>
            <w:webHidden/>
          </w:rPr>
          <w:fldChar w:fldCharType="end"/>
        </w:r>
      </w:hyperlink>
    </w:p>
    <w:p w14:paraId="55CFD84F" w14:textId="77E2501A"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189" w:history="1">
        <w:r w:rsidR="00CB6756" w:rsidRPr="002672F5">
          <w:rPr>
            <w:rStyle w:val="Hyperlink"/>
            <w:noProof/>
          </w:rPr>
          <w:t>2.2</w:t>
        </w:r>
        <w:r w:rsidR="00CB6756">
          <w:rPr>
            <w:rFonts w:asciiTheme="minorHAnsi" w:eastAsiaTheme="minorEastAsia" w:hAnsiTheme="minorHAnsi" w:cstheme="minorBidi"/>
            <w:noProof/>
            <w:sz w:val="22"/>
            <w:szCs w:val="22"/>
          </w:rPr>
          <w:tab/>
        </w:r>
        <w:r w:rsidR="00CB6756" w:rsidRPr="002672F5">
          <w:rPr>
            <w:rStyle w:val="Hyperlink"/>
            <w:noProof/>
          </w:rPr>
          <w:t>Responsibility</w:t>
        </w:r>
        <w:r w:rsidR="00CB6756">
          <w:rPr>
            <w:noProof/>
            <w:webHidden/>
          </w:rPr>
          <w:tab/>
        </w:r>
        <w:r w:rsidR="00CB6756">
          <w:rPr>
            <w:noProof/>
            <w:webHidden/>
          </w:rPr>
          <w:fldChar w:fldCharType="begin"/>
        </w:r>
        <w:r w:rsidR="00CB6756">
          <w:rPr>
            <w:noProof/>
            <w:webHidden/>
          </w:rPr>
          <w:instrText xml:space="preserve"> PAGEREF _Toc10621189 \h </w:instrText>
        </w:r>
        <w:r w:rsidR="00CB6756">
          <w:rPr>
            <w:noProof/>
            <w:webHidden/>
          </w:rPr>
        </w:r>
        <w:r w:rsidR="00CB6756">
          <w:rPr>
            <w:noProof/>
            <w:webHidden/>
          </w:rPr>
          <w:fldChar w:fldCharType="separate"/>
        </w:r>
        <w:r w:rsidR="00DD7172">
          <w:rPr>
            <w:noProof/>
            <w:webHidden/>
          </w:rPr>
          <w:t>1</w:t>
        </w:r>
        <w:r w:rsidR="00CB6756">
          <w:rPr>
            <w:noProof/>
            <w:webHidden/>
          </w:rPr>
          <w:fldChar w:fldCharType="end"/>
        </w:r>
      </w:hyperlink>
    </w:p>
    <w:p w14:paraId="21AA2ED6" w14:textId="548E0B0A"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190" w:history="1">
        <w:r w:rsidR="00CB6756" w:rsidRPr="002672F5">
          <w:rPr>
            <w:rStyle w:val="Hyperlink"/>
            <w:noProof/>
          </w:rPr>
          <w:t>3</w:t>
        </w:r>
        <w:r w:rsidR="00CB6756">
          <w:rPr>
            <w:rFonts w:asciiTheme="minorHAnsi" w:eastAsiaTheme="minorEastAsia" w:hAnsiTheme="minorHAnsi" w:cstheme="minorBidi"/>
            <w:noProof/>
            <w:sz w:val="22"/>
            <w:szCs w:val="22"/>
          </w:rPr>
          <w:tab/>
        </w:r>
        <w:r w:rsidR="00CB6756" w:rsidRPr="002672F5">
          <w:rPr>
            <w:rStyle w:val="Hyperlink"/>
            <w:noProof/>
          </w:rPr>
          <w:t>Risk Assessment</w:t>
        </w:r>
        <w:r w:rsidR="00CB6756">
          <w:rPr>
            <w:noProof/>
            <w:webHidden/>
          </w:rPr>
          <w:tab/>
        </w:r>
        <w:r w:rsidR="00CB6756">
          <w:rPr>
            <w:noProof/>
            <w:webHidden/>
          </w:rPr>
          <w:fldChar w:fldCharType="begin"/>
        </w:r>
        <w:r w:rsidR="00CB6756">
          <w:rPr>
            <w:noProof/>
            <w:webHidden/>
          </w:rPr>
          <w:instrText xml:space="preserve"> PAGEREF _Toc10621190 \h </w:instrText>
        </w:r>
        <w:r w:rsidR="00CB6756">
          <w:rPr>
            <w:noProof/>
            <w:webHidden/>
          </w:rPr>
        </w:r>
        <w:r w:rsidR="00CB6756">
          <w:rPr>
            <w:noProof/>
            <w:webHidden/>
          </w:rPr>
          <w:fldChar w:fldCharType="separate"/>
        </w:r>
        <w:r w:rsidR="00DD7172">
          <w:rPr>
            <w:noProof/>
            <w:webHidden/>
          </w:rPr>
          <w:t>2</w:t>
        </w:r>
        <w:r w:rsidR="00CB6756">
          <w:rPr>
            <w:noProof/>
            <w:webHidden/>
          </w:rPr>
          <w:fldChar w:fldCharType="end"/>
        </w:r>
      </w:hyperlink>
    </w:p>
    <w:p w14:paraId="18D37CF2" w14:textId="0910F609"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192" w:history="1">
        <w:r w:rsidR="00CB6756" w:rsidRPr="002672F5">
          <w:rPr>
            <w:rStyle w:val="Hyperlink"/>
            <w:noProof/>
          </w:rPr>
          <w:t>3.1</w:t>
        </w:r>
        <w:r w:rsidR="00CB6756">
          <w:rPr>
            <w:rFonts w:asciiTheme="minorHAnsi" w:eastAsiaTheme="minorEastAsia" w:hAnsiTheme="minorHAnsi" w:cstheme="minorBidi"/>
            <w:noProof/>
            <w:sz w:val="22"/>
            <w:szCs w:val="22"/>
          </w:rPr>
          <w:tab/>
        </w:r>
        <w:r w:rsidR="00CB6756" w:rsidRPr="002672F5">
          <w:rPr>
            <w:rStyle w:val="Hyperlink"/>
            <w:noProof/>
          </w:rPr>
          <w:t>Risk Assessment Planning</w:t>
        </w:r>
        <w:r w:rsidR="00CB6756">
          <w:rPr>
            <w:noProof/>
            <w:webHidden/>
          </w:rPr>
          <w:tab/>
        </w:r>
        <w:r w:rsidR="00CB6756">
          <w:rPr>
            <w:noProof/>
            <w:webHidden/>
          </w:rPr>
          <w:fldChar w:fldCharType="begin"/>
        </w:r>
        <w:r w:rsidR="00CB6756">
          <w:rPr>
            <w:noProof/>
            <w:webHidden/>
          </w:rPr>
          <w:instrText xml:space="preserve"> PAGEREF _Toc10621192 \h </w:instrText>
        </w:r>
        <w:r w:rsidR="00CB6756">
          <w:rPr>
            <w:noProof/>
            <w:webHidden/>
          </w:rPr>
        </w:r>
        <w:r w:rsidR="00CB6756">
          <w:rPr>
            <w:noProof/>
            <w:webHidden/>
          </w:rPr>
          <w:fldChar w:fldCharType="separate"/>
        </w:r>
        <w:r w:rsidR="00DD7172">
          <w:rPr>
            <w:noProof/>
            <w:webHidden/>
          </w:rPr>
          <w:t>2</w:t>
        </w:r>
        <w:r w:rsidR="00CB6756">
          <w:rPr>
            <w:noProof/>
            <w:webHidden/>
          </w:rPr>
          <w:fldChar w:fldCharType="end"/>
        </w:r>
      </w:hyperlink>
    </w:p>
    <w:p w14:paraId="046D020C" w14:textId="3342CFD4"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195" w:history="1">
        <w:r w:rsidR="00CB6756" w:rsidRPr="002672F5">
          <w:rPr>
            <w:rStyle w:val="Hyperlink"/>
            <w:noProof/>
          </w:rPr>
          <w:t>3.2</w:t>
        </w:r>
        <w:r w:rsidR="00CB6756">
          <w:rPr>
            <w:rFonts w:asciiTheme="minorHAnsi" w:eastAsiaTheme="minorEastAsia" w:hAnsiTheme="minorHAnsi" w:cstheme="minorBidi"/>
            <w:noProof/>
            <w:sz w:val="22"/>
            <w:szCs w:val="22"/>
          </w:rPr>
          <w:tab/>
        </w:r>
        <w:r w:rsidR="00CB6756" w:rsidRPr="002672F5">
          <w:rPr>
            <w:rStyle w:val="Hyperlink"/>
            <w:noProof/>
          </w:rPr>
          <w:t>Risk Management Execution</w:t>
        </w:r>
        <w:r w:rsidR="00CB6756">
          <w:rPr>
            <w:noProof/>
            <w:webHidden/>
          </w:rPr>
          <w:tab/>
        </w:r>
        <w:r w:rsidR="00CB6756">
          <w:rPr>
            <w:noProof/>
            <w:webHidden/>
          </w:rPr>
          <w:fldChar w:fldCharType="begin"/>
        </w:r>
        <w:r w:rsidR="00CB6756">
          <w:rPr>
            <w:noProof/>
            <w:webHidden/>
          </w:rPr>
          <w:instrText xml:space="preserve"> PAGEREF _Toc10621195 \h </w:instrText>
        </w:r>
        <w:r w:rsidR="00CB6756">
          <w:rPr>
            <w:noProof/>
            <w:webHidden/>
          </w:rPr>
        </w:r>
        <w:r w:rsidR="00CB6756">
          <w:rPr>
            <w:noProof/>
            <w:webHidden/>
          </w:rPr>
          <w:fldChar w:fldCharType="separate"/>
        </w:r>
        <w:r w:rsidR="00DD7172">
          <w:rPr>
            <w:noProof/>
            <w:webHidden/>
          </w:rPr>
          <w:t>2</w:t>
        </w:r>
        <w:r w:rsidR="00CB6756">
          <w:rPr>
            <w:noProof/>
            <w:webHidden/>
          </w:rPr>
          <w:fldChar w:fldCharType="end"/>
        </w:r>
      </w:hyperlink>
    </w:p>
    <w:p w14:paraId="64F42753" w14:textId="191C5E67"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196" w:history="1">
        <w:r w:rsidR="00CB6756" w:rsidRPr="002672F5">
          <w:rPr>
            <w:rStyle w:val="Hyperlink"/>
            <w:noProof/>
          </w:rPr>
          <w:t>4</w:t>
        </w:r>
        <w:r w:rsidR="00CB6756">
          <w:rPr>
            <w:rFonts w:asciiTheme="minorHAnsi" w:eastAsiaTheme="minorEastAsia" w:hAnsiTheme="minorHAnsi" w:cstheme="minorBidi"/>
            <w:noProof/>
            <w:sz w:val="22"/>
            <w:szCs w:val="22"/>
          </w:rPr>
          <w:tab/>
        </w:r>
        <w:r w:rsidR="00CB6756" w:rsidRPr="002672F5">
          <w:rPr>
            <w:rStyle w:val="Hyperlink"/>
            <w:noProof/>
          </w:rPr>
          <w:t>Risk Identification</w:t>
        </w:r>
        <w:r w:rsidR="00CB6756">
          <w:rPr>
            <w:noProof/>
            <w:webHidden/>
          </w:rPr>
          <w:tab/>
        </w:r>
        <w:r w:rsidR="00CB6756">
          <w:rPr>
            <w:noProof/>
            <w:webHidden/>
          </w:rPr>
          <w:fldChar w:fldCharType="begin"/>
        </w:r>
        <w:r w:rsidR="00CB6756">
          <w:rPr>
            <w:noProof/>
            <w:webHidden/>
          </w:rPr>
          <w:instrText xml:space="preserve"> PAGEREF _Toc10621196 \h </w:instrText>
        </w:r>
        <w:r w:rsidR="00CB6756">
          <w:rPr>
            <w:noProof/>
            <w:webHidden/>
          </w:rPr>
        </w:r>
        <w:r w:rsidR="00CB6756">
          <w:rPr>
            <w:noProof/>
            <w:webHidden/>
          </w:rPr>
          <w:fldChar w:fldCharType="separate"/>
        </w:r>
        <w:r w:rsidR="00DD7172">
          <w:rPr>
            <w:noProof/>
            <w:webHidden/>
          </w:rPr>
          <w:t>2</w:t>
        </w:r>
        <w:r w:rsidR="00CB6756">
          <w:rPr>
            <w:noProof/>
            <w:webHidden/>
          </w:rPr>
          <w:fldChar w:fldCharType="end"/>
        </w:r>
      </w:hyperlink>
    </w:p>
    <w:p w14:paraId="0595985D" w14:textId="6E10947D"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197" w:history="1">
        <w:r w:rsidR="00CB6756" w:rsidRPr="002672F5">
          <w:rPr>
            <w:rStyle w:val="Hyperlink"/>
            <w:noProof/>
          </w:rPr>
          <w:t>5</w:t>
        </w:r>
        <w:r w:rsidR="00CB6756">
          <w:rPr>
            <w:rFonts w:asciiTheme="minorHAnsi" w:eastAsiaTheme="minorEastAsia" w:hAnsiTheme="minorHAnsi" w:cstheme="minorBidi"/>
            <w:noProof/>
            <w:sz w:val="22"/>
            <w:szCs w:val="22"/>
          </w:rPr>
          <w:tab/>
        </w:r>
        <w:r w:rsidR="00CB6756" w:rsidRPr="002672F5">
          <w:rPr>
            <w:rStyle w:val="Hyperlink"/>
            <w:noProof/>
          </w:rPr>
          <w:t>Risk Analysis</w:t>
        </w:r>
        <w:r w:rsidR="00CB6756">
          <w:rPr>
            <w:noProof/>
            <w:webHidden/>
          </w:rPr>
          <w:tab/>
        </w:r>
        <w:r w:rsidR="00CB6756">
          <w:rPr>
            <w:noProof/>
            <w:webHidden/>
          </w:rPr>
          <w:fldChar w:fldCharType="begin"/>
        </w:r>
        <w:r w:rsidR="00CB6756">
          <w:rPr>
            <w:noProof/>
            <w:webHidden/>
          </w:rPr>
          <w:instrText xml:space="preserve"> PAGEREF _Toc10621197 \h </w:instrText>
        </w:r>
        <w:r w:rsidR="00CB6756">
          <w:rPr>
            <w:noProof/>
            <w:webHidden/>
          </w:rPr>
        </w:r>
        <w:r w:rsidR="00CB6756">
          <w:rPr>
            <w:noProof/>
            <w:webHidden/>
          </w:rPr>
          <w:fldChar w:fldCharType="separate"/>
        </w:r>
        <w:r w:rsidR="00DD7172">
          <w:rPr>
            <w:noProof/>
            <w:webHidden/>
          </w:rPr>
          <w:t>3</w:t>
        </w:r>
        <w:r w:rsidR="00CB6756">
          <w:rPr>
            <w:noProof/>
            <w:webHidden/>
          </w:rPr>
          <w:fldChar w:fldCharType="end"/>
        </w:r>
      </w:hyperlink>
    </w:p>
    <w:p w14:paraId="5702C8E7" w14:textId="3C4BA319"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198" w:history="1">
        <w:r w:rsidR="00CB6756" w:rsidRPr="002672F5">
          <w:rPr>
            <w:rStyle w:val="Hyperlink"/>
            <w:noProof/>
          </w:rPr>
          <w:t>6</w:t>
        </w:r>
        <w:r w:rsidR="00CB6756">
          <w:rPr>
            <w:rFonts w:asciiTheme="minorHAnsi" w:eastAsiaTheme="minorEastAsia" w:hAnsiTheme="minorHAnsi" w:cstheme="minorBidi"/>
            <w:noProof/>
            <w:sz w:val="22"/>
            <w:szCs w:val="22"/>
          </w:rPr>
          <w:tab/>
        </w:r>
        <w:r w:rsidR="00CB6756" w:rsidRPr="002672F5">
          <w:rPr>
            <w:rStyle w:val="Hyperlink"/>
            <w:noProof/>
          </w:rPr>
          <w:t>Risk Handling</w:t>
        </w:r>
        <w:r w:rsidR="00CB6756">
          <w:rPr>
            <w:noProof/>
            <w:webHidden/>
          </w:rPr>
          <w:tab/>
        </w:r>
        <w:r w:rsidR="00CB6756">
          <w:rPr>
            <w:noProof/>
            <w:webHidden/>
          </w:rPr>
          <w:fldChar w:fldCharType="begin"/>
        </w:r>
        <w:r w:rsidR="00CB6756">
          <w:rPr>
            <w:noProof/>
            <w:webHidden/>
          </w:rPr>
          <w:instrText xml:space="preserve"> PAGEREF _Toc10621198 \h </w:instrText>
        </w:r>
        <w:r w:rsidR="00CB6756">
          <w:rPr>
            <w:noProof/>
            <w:webHidden/>
          </w:rPr>
        </w:r>
        <w:r w:rsidR="00CB6756">
          <w:rPr>
            <w:noProof/>
            <w:webHidden/>
          </w:rPr>
          <w:fldChar w:fldCharType="separate"/>
        </w:r>
        <w:r w:rsidR="00DD7172">
          <w:rPr>
            <w:noProof/>
            <w:webHidden/>
          </w:rPr>
          <w:t>4</w:t>
        </w:r>
        <w:r w:rsidR="00CB6756">
          <w:rPr>
            <w:noProof/>
            <w:webHidden/>
          </w:rPr>
          <w:fldChar w:fldCharType="end"/>
        </w:r>
      </w:hyperlink>
    </w:p>
    <w:p w14:paraId="20E22AB3" w14:textId="31818DEB"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199" w:history="1">
        <w:r w:rsidR="00CB6756" w:rsidRPr="002672F5">
          <w:rPr>
            <w:rStyle w:val="Hyperlink"/>
            <w:noProof/>
          </w:rPr>
          <w:t>6.1</w:t>
        </w:r>
        <w:r w:rsidR="00CB6756">
          <w:rPr>
            <w:rFonts w:asciiTheme="minorHAnsi" w:eastAsiaTheme="minorEastAsia" w:hAnsiTheme="minorHAnsi" w:cstheme="minorBidi"/>
            <w:noProof/>
            <w:sz w:val="22"/>
            <w:szCs w:val="22"/>
          </w:rPr>
          <w:tab/>
        </w:r>
        <w:r w:rsidR="00CB6756" w:rsidRPr="002672F5">
          <w:rPr>
            <w:rStyle w:val="Hyperlink"/>
            <w:noProof/>
          </w:rPr>
          <w:t>Technology Risk Mitigation</w:t>
        </w:r>
        <w:r w:rsidR="00CB6756">
          <w:rPr>
            <w:noProof/>
            <w:webHidden/>
          </w:rPr>
          <w:tab/>
        </w:r>
        <w:r w:rsidR="00CB6756">
          <w:rPr>
            <w:noProof/>
            <w:webHidden/>
          </w:rPr>
          <w:fldChar w:fldCharType="begin"/>
        </w:r>
        <w:r w:rsidR="00CB6756">
          <w:rPr>
            <w:noProof/>
            <w:webHidden/>
          </w:rPr>
          <w:instrText xml:space="preserve"> PAGEREF _Toc10621199 \h </w:instrText>
        </w:r>
        <w:r w:rsidR="00CB6756">
          <w:rPr>
            <w:noProof/>
            <w:webHidden/>
          </w:rPr>
        </w:r>
        <w:r w:rsidR="00CB6756">
          <w:rPr>
            <w:noProof/>
            <w:webHidden/>
          </w:rPr>
          <w:fldChar w:fldCharType="separate"/>
        </w:r>
        <w:r w:rsidR="00DD7172">
          <w:rPr>
            <w:noProof/>
            <w:webHidden/>
          </w:rPr>
          <w:t>4</w:t>
        </w:r>
        <w:r w:rsidR="00CB6756">
          <w:rPr>
            <w:noProof/>
            <w:webHidden/>
          </w:rPr>
          <w:fldChar w:fldCharType="end"/>
        </w:r>
      </w:hyperlink>
    </w:p>
    <w:p w14:paraId="1F8CD445" w14:textId="5249C92A"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200" w:history="1">
        <w:r w:rsidR="00CB6756" w:rsidRPr="002672F5">
          <w:rPr>
            <w:rStyle w:val="Hyperlink"/>
            <w:noProof/>
          </w:rPr>
          <w:t>6.2</w:t>
        </w:r>
        <w:r w:rsidR="00CB6756">
          <w:rPr>
            <w:rFonts w:asciiTheme="minorHAnsi" w:eastAsiaTheme="minorEastAsia" w:hAnsiTheme="minorHAnsi" w:cstheme="minorBidi"/>
            <w:noProof/>
            <w:sz w:val="22"/>
            <w:szCs w:val="22"/>
          </w:rPr>
          <w:tab/>
        </w:r>
        <w:r w:rsidR="00CB6756" w:rsidRPr="002672F5">
          <w:rPr>
            <w:rStyle w:val="Hyperlink"/>
            <w:noProof/>
          </w:rPr>
          <w:t>Cost Risk Mitigation</w:t>
        </w:r>
        <w:r w:rsidR="00CB6756">
          <w:rPr>
            <w:noProof/>
            <w:webHidden/>
          </w:rPr>
          <w:tab/>
        </w:r>
        <w:r w:rsidR="00CB6756">
          <w:rPr>
            <w:noProof/>
            <w:webHidden/>
          </w:rPr>
          <w:fldChar w:fldCharType="begin"/>
        </w:r>
        <w:r w:rsidR="00CB6756">
          <w:rPr>
            <w:noProof/>
            <w:webHidden/>
          </w:rPr>
          <w:instrText xml:space="preserve"> PAGEREF _Toc10621200 \h </w:instrText>
        </w:r>
        <w:r w:rsidR="00CB6756">
          <w:rPr>
            <w:noProof/>
            <w:webHidden/>
          </w:rPr>
        </w:r>
        <w:r w:rsidR="00CB6756">
          <w:rPr>
            <w:noProof/>
            <w:webHidden/>
          </w:rPr>
          <w:fldChar w:fldCharType="separate"/>
        </w:r>
        <w:r w:rsidR="00DD7172">
          <w:rPr>
            <w:noProof/>
            <w:webHidden/>
          </w:rPr>
          <w:t>5</w:t>
        </w:r>
        <w:r w:rsidR="00CB6756">
          <w:rPr>
            <w:noProof/>
            <w:webHidden/>
          </w:rPr>
          <w:fldChar w:fldCharType="end"/>
        </w:r>
      </w:hyperlink>
    </w:p>
    <w:p w14:paraId="78B81A3A" w14:textId="53B47FD1"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201" w:history="1">
        <w:r w:rsidR="00CB6756" w:rsidRPr="002672F5">
          <w:rPr>
            <w:rStyle w:val="Hyperlink"/>
            <w:noProof/>
          </w:rPr>
          <w:t>6.3</w:t>
        </w:r>
        <w:r w:rsidR="00CB6756">
          <w:rPr>
            <w:rFonts w:asciiTheme="minorHAnsi" w:eastAsiaTheme="minorEastAsia" w:hAnsiTheme="minorHAnsi" w:cstheme="minorBidi"/>
            <w:noProof/>
            <w:sz w:val="22"/>
            <w:szCs w:val="22"/>
          </w:rPr>
          <w:tab/>
        </w:r>
        <w:r w:rsidR="00CB6756" w:rsidRPr="002672F5">
          <w:rPr>
            <w:rStyle w:val="Hyperlink"/>
            <w:noProof/>
          </w:rPr>
          <w:t>Schedule Risk Mitigation</w:t>
        </w:r>
        <w:r w:rsidR="00CB6756">
          <w:rPr>
            <w:noProof/>
            <w:webHidden/>
          </w:rPr>
          <w:tab/>
        </w:r>
        <w:r w:rsidR="00CB6756">
          <w:rPr>
            <w:noProof/>
            <w:webHidden/>
          </w:rPr>
          <w:fldChar w:fldCharType="begin"/>
        </w:r>
        <w:r w:rsidR="00CB6756">
          <w:rPr>
            <w:noProof/>
            <w:webHidden/>
          </w:rPr>
          <w:instrText xml:space="preserve"> PAGEREF _Toc10621201 \h </w:instrText>
        </w:r>
        <w:r w:rsidR="00CB6756">
          <w:rPr>
            <w:noProof/>
            <w:webHidden/>
          </w:rPr>
        </w:r>
        <w:r w:rsidR="00CB6756">
          <w:rPr>
            <w:noProof/>
            <w:webHidden/>
          </w:rPr>
          <w:fldChar w:fldCharType="separate"/>
        </w:r>
        <w:r w:rsidR="00DD7172">
          <w:rPr>
            <w:noProof/>
            <w:webHidden/>
          </w:rPr>
          <w:t>6</w:t>
        </w:r>
        <w:r w:rsidR="00CB6756">
          <w:rPr>
            <w:noProof/>
            <w:webHidden/>
          </w:rPr>
          <w:fldChar w:fldCharType="end"/>
        </w:r>
      </w:hyperlink>
    </w:p>
    <w:p w14:paraId="49D327FE" w14:textId="4326D17B"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202" w:history="1">
        <w:r w:rsidR="00CB6756" w:rsidRPr="002672F5">
          <w:rPr>
            <w:rStyle w:val="Hyperlink"/>
            <w:noProof/>
          </w:rPr>
          <w:t>6.4</w:t>
        </w:r>
        <w:r w:rsidR="00CB6756">
          <w:rPr>
            <w:rFonts w:asciiTheme="minorHAnsi" w:eastAsiaTheme="minorEastAsia" w:hAnsiTheme="minorHAnsi" w:cstheme="minorBidi"/>
            <w:noProof/>
            <w:sz w:val="22"/>
            <w:szCs w:val="22"/>
          </w:rPr>
          <w:tab/>
        </w:r>
        <w:r w:rsidR="00CB6756" w:rsidRPr="002672F5">
          <w:rPr>
            <w:rStyle w:val="Hyperlink"/>
            <w:noProof/>
          </w:rPr>
          <w:t>Security Risk Mitigation</w:t>
        </w:r>
        <w:r w:rsidR="00CB6756">
          <w:rPr>
            <w:noProof/>
            <w:webHidden/>
          </w:rPr>
          <w:tab/>
        </w:r>
        <w:r w:rsidR="00CB6756">
          <w:rPr>
            <w:noProof/>
            <w:webHidden/>
          </w:rPr>
          <w:fldChar w:fldCharType="begin"/>
        </w:r>
        <w:r w:rsidR="00CB6756">
          <w:rPr>
            <w:noProof/>
            <w:webHidden/>
          </w:rPr>
          <w:instrText xml:space="preserve"> PAGEREF _Toc10621202 \h </w:instrText>
        </w:r>
        <w:r w:rsidR="00CB6756">
          <w:rPr>
            <w:noProof/>
            <w:webHidden/>
          </w:rPr>
        </w:r>
        <w:r w:rsidR="00CB6756">
          <w:rPr>
            <w:noProof/>
            <w:webHidden/>
          </w:rPr>
          <w:fldChar w:fldCharType="separate"/>
        </w:r>
        <w:r w:rsidR="00DD7172">
          <w:rPr>
            <w:noProof/>
            <w:webHidden/>
          </w:rPr>
          <w:t>6</w:t>
        </w:r>
        <w:r w:rsidR="00CB6756">
          <w:rPr>
            <w:noProof/>
            <w:webHidden/>
          </w:rPr>
          <w:fldChar w:fldCharType="end"/>
        </w:r>
      </w:hyperlink>
    </w:p>
    <w:p w14:paraId="44B21E1B" w14:textId="69CA34CD" w:rsidR="00CB6756" w:rsidRDefault="00000000">
      <w:pPr>
        <w:pStyle w:val="TOC2"/>
        <w:tabs>
          <w:tab w:val="left" w:pos="960"/>
          <w:tab w:val="right" w:leader="dot" w:pos="9710"/>
        </w:tabs>
        <w:rPr>
          <w:rFonts w:asciiTheme="minorHAnsi" w:eastAsiaTheme="minorEastAsia" w:hAnsiTheme="minorHAnsi" w:cstheme="minorBidi"/>
          <w:noProof/>
          <w:sz w:val="22"/>
          <w:szCs w:val="22"/>
        </w:rPr>
      </w:pPr>
      <w:hyperlink w:anchor="_Toc10621203" w:history="1">
        <w:r w:rsidR="00CB6756" w:rsidRPr="002672F5">
          <w:rPr>
            <w:rStyle w:val="Hyperlink"/>
            <w:noProof/>
          </w:rPr>
          <w:t>6.5</w:t>
        </w:r>
        <w:r w:rsidR="00CB6756">
          <w:rPr>
            <w:rFonts w:asciiTheme="minorHAnsi" w:eastAsiaTheme="minorEastAsia" w:hAnsiTheme="minorHAnsi" w:cstheme="minorBidi"/>
            <w:noProof/>
            <w:sz w:val="22"/>
            <w:szCs w:val="22"/>
          </w:rPr>
          <w:tab/>
        </w:r>
        <w:r w:rsidR="00CB6756" w:rsidRPr="002672F5">
          <w:rPr>
            <w:rStyle w:val="Hyperlink"/>
            <w:noProof/>
          </w:rPr>
          <w:t>Service Risk Mitigation</w:t>
        </w:r>
        <w:r w:rsidR="00CB6756">
          <w:rPr>
            <w:noProof/>
            <w:webHidden/>
          </w:rPr>
          <w:tab/>
        </w:r>
        <w:r w:rsidR="00CB6756">
          <w:rPr>
            <w:noProof/>
            <w:webHidden/>
          </w:rPr>
          <w:fldChar w:fldCharType="begin"/>
        </w:r>
        <w:r w:rsidR="00CB6756">
          <w:rPr>
            <w:noProof/>
            <w:webHidden/>
          </w:rPr>
          <w:instrText xml:space="preserve"> PAGEREF _Toc10621203 \h </w:instrText>
        </w:r>
        <w:r w:rsidR="00CB6756">
          <w:rPr>
            <w:noProof/>
            <w:webHidden/>
          </w:rPr>
        </w:r>
        <w:r w:rsidR="00CB6756">
          <w:rPr>
            <w:noProof/>
            <w:webHidden/>
          </w:rPr>
          <w:fldChar w:fldCharType="separate"/>
        </w:r>
        <w:r w:rsidR="00DD7172">
          <w:rPr>
            <w:noProof/>
            <w:webHidden/>
          </w:rPr>
          <w:t>6</w:t>
        </w:r>
        <w:r w:rsidR="00CB6756">
          <w:rPr>
            <w:noProof/>
            <w:webHidden/>
          </w:rPr>
          <w:fldChar w:fldCharType="end"/>
        </w:r>
      </w:hyperlink>
    </w:p>
    <w:p w14:paraId="0039BBB1" w14:textId="16AB6222"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204" w:history="1">
        <w:r w:rsidR="00CB6756" w:rsidRPr="002672F5">
          <w:rPr>
            <w:rStyle w:val="Hyperlink"/>
            <w:noProof/>
          </w:rPr>
          <w:t>7</w:t>
        </w:r>
        <w:r w:rsidR="00CB6756">
          <w:rPr>
            <w:rFonts w:asciiTheme="minorHAnsi" w:eastAsiaTheme="minorEastAsia" w:hAnsiTheme="minorHAnsi" w:cstheme="minorBidi"/>
            <w:noProof/>
            <w:sz w:val="22"/>
            <w:szCs w:val="22"/>
          </w:rPr>
          <w:tab/>
        </w:r>
        <w:r w:rsidR="00CB6756" w:rsidRPr="002672F5">
          <w:rPr>
            <w:rStyle w:val="Hyperlink"/>
            <w:noProof/>
          </w:rPr>
          <w:t>Risk Monitoring</w:t>
        </w:r>
        <w:r w:rsidR="00CB6756">
          <w:rPr>
            <w:noProof/>
            <w:webHidden/>
          </w:rPr>
          <w:tab/>
        </w:r>
        <w:r w:rsidR="00CB6756">
          <w:rPr>
            <w:noProof/>
            <w:webHidden/>
          </w:rPr>
          <w:fldChar w:fldCharType="begin"/>
        </w:r>
        <w:r w:rsidR="00CB6756">
          <w:rPr>
            <w:noProof/>
            <w:webHidden/>
          </w:rPr>
          <w:instrText xml:space="preserve"> PAGEREF _Toc10621204 \h </w:instrText>
        </w:r>
        <w:r w:rsidR="00CB6756">
          <w:rPr>
            <w:noProof/>
            <w:webHidden/>
          </w:rPr>
        </w:r>
        <w:r w:rsidR="00CB6756">
          <w:rPr>
            <w:noProof/>
            <w:webHidden/>
          </w:rPr>
          <w:fldChar w:fldCharType="separate"/>
        </w:r>
        <w:r w:rsidR="00DD7172">
          <w:rPr>
            <w:noProof/>
            <w:webHidden/>
          </w:rPr>
          <w:t>6</w:t>
        </w:r>
        <w:r w:rsidR="00CB6756">
          <w:rPr>
            <w:noProof/>
            <w:webHidden/>
          </w:rPr>
          <w:fldChar w:fldCharType="end"/>
        </w:r>
      </w:hyperlink>
    </w:p>
    <w:p w14:paraId="41E22C86" w14:textId="07B7BBCB" w:rsidR="00CB6756" w:rsidRDefault="00000000">
      <w:pPr>
        <w:pStyle w:val="TOC1"/>
        <w:tabs>
          <w:tab w:val="left" w:pos="480"/>
          <w:tab w:val="right" w:leader="dot" w:pos="9710"/>
        </w:tabs>
        <w:rPr>
          <w:rFonts w:asciiTheme="minorHAnsi" w:eastAsiaTheme="minorEastAsia" w:hAnsiTheme="minorHAnsi" w:cstheme="minorBidi"/>
          <w:noProof/>
          <w:sz w:val="22"/>
          <w:szCs w:val="22"/>
        </w:rPr>
      </w:pPr>
      <w:hyperlink w:anchor="_Toc10621205" w:history="1">
        <w:r w:rsidR="00CB6756" w:rsidRPr="002672F5">
          <w:rPr>
            <w:rStyle w:val="Hyperlink"/>
            <w:noProof/>
          </w:rPr>
          <w:t>8</w:t>
        </w:r>
        <w:r w:rsidR="00CB6756">
          <w:rPr>
            <w:rFonts w:asciiTheme="minorHAnsi" w:eastAsiaTheme="minorEastAsia" w:hAnsiTheme="minorHAnsi" w:cstheme="minorBidi"/>
            <w:noProof/>
            <w:sz w:val="22"/>
            <w:szCs w:val="22"/>
          </w:rPr>
          <w:tab/>
        </w:r>
        <w:r w:rsidR="00CB6756" w:rsidRPr="002672F5">
          <w:rPr>
            <w:rStyle w:val="Hyperlink"/>
            <w:noProof/>
          </w:rPr>
          <w:t>List of Acronyms</w:t>
        </w:r>
        <w:r w:rsidR="00CB6756">
          <w:rPr>
            <w:noProof/>
            <w:webHidden/>
          </w:rPr>
          <w:tab/>
        </w:r>
        <w:r w:rsidR="00CB6756">
          <w:rPr>
            <w:noProof/>
            <w:webHidden/>
          </w:rPr>
          <w:fldChar w:fldCharType="begin"/>
        </w:r>
        <w:r w:rsidR="00CB6756">
          <w:rPr>
            <w:noProof/>
            <w:webHidden/>
          </w:rPr>
          <w:instrText xml:space="preserve"> PAGEREF _Toc10621205 \h </w:instrText>
        </w:r>
        <w:r w:rsidR="00CB6756">
          <w:rPr>
            <w:noProof/>
            <w:webHidden/>
          </w:rPr>
        </w:r>
        <w:r w:rsidR="00CB6756">
          <w:rPr>
            <w:noProof/>
            <w:webHidden/>
          </w:rPr>
          <w:fldChar w:fldCharType="separate"/>
        </w:r>
        <w:r w:rsidR="00DD7172">
          <w:rPr>
            <w:noProof/>
            <w:webHidden/>
          </w:rPr>
          <w:t>8</w:t>
        </w:r>
        <w:r w:rsidR="00CB6756">
          <w:rPr>
            <w:noProof/>
            <w:webHidden/>
          </w:rPr>
          <w:fldChar w:fldCharType="end"/>
        </w:r>
      </w:hyperlink>
    </w:p>
    <w:p w14:paraId="62152A6B" w14:textId="40CB2AFB" w:rsidR="00B56783" w:rsidRDefault="007243DA" w:rsidP="00B56783">
      <w:pPr>
        <w:pStyle w:val="TableofFigures"/>
        <w:ind w:left="0" w:firstLine="0"/>
      </w:pPr>
      <w:r>
        <w:fldChar w:fldCharType="end"/>
      </w:r>
      <w:bookmarkStart w:id="2" w:name="_Toc103256360"/>
      <w:bookmarkStart w:id="3" w:name="_Toc103327419"/>
      <w:bookmarkStart w:id="4" w:name="_Toc114803811"/>
      <w:bookmarkStart w:id="5" w:name="_Toc114820175"/>
      <w:bookmarkStart w:id="6" w:name="_Toc114820486"/>
      <w:bookmarkStart w:id="7" w:name="_Toc114823586"/>
      <w:bookmarkStart w:id="8" w:name="_Toc115000236"/>
      <w:bookmarkStart w:id="9" w:name="_Toc115000379"/>
      <w:bookmarkStart w:id="10" w:name="_Toc115001931"/>
      <w:bookmarkStart w:id="11" w:name="_Toc223248595"/>
      <w:bookmarkEnd w:id="2"/>
      <w:bookmarkEnd w:id="3"/>
      <w:bookmarkEnd w:id="4"/>
      <w:bookmarkEnd w:id="5"/>
      <w:bookmarkEnd w:id="6"/>
      <w:bookmarkEnd w:id="7"/>
      <w:bookmarkEnd w:id="8"/>
      <w:bookmarkEnd w:id="9"/>
      <w:bookmarkEnd w:id="10"/>
    </w:p>
    <w:p w14:paraId="4D3CBF51" w14:textId="58ABE235" w:rsidR="00E417DC" w:rsidRDefault="00E417DC" w:rsidP="00CB6756"/>
    <w:p w14:paraId="705E86AB" w14:textId="77777777" w:rsidR="00E417DC" w:rsidRDefault="00E417DC" w:rsidP="00CB6756">
      <w:pPr>
        <w:sectPr w:rsidR="00E417DC" w:rsidSect="00A332F3">
          <w:footerReference w:type="default" r:id="rId8"/>
          <w:pgSz w:w="12240" w:h="15840" w:code="1"/>
          <w:pgMar w:top="1440" w:right="1080" w:bottom="1440" w:left="1440" w:header="1080" w:footer="108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14:paraId="61093BDC" w14:textId="5E3B267E" w:rsidR="00AD4233" w:rsidRPr="00CB6756" w:rsidRDefault="00E417DC" w:rsidP="00640ED2">
      <w:pPr>
        <w:pStyle w:val="Heading1"/>
      </w:pPr>
      <w:bookmarkStart w:id="12" w:name="_Toc10621155"/>
      <w:bookmarkStart w:id="13" w:name="_Toc10621184"/>
      <w:bookmarkStart w:id="14" w:name="_Toc10621185"/>
      <w:bookmarkEnd w:id="12"/>
      <w:bookmarkEnd w:id="13"/>
      <w:r w:rsidRPr="00A332F3">
        <w:lastRenderedPageBreak/>
        <w:t>Introduction</w:t>
      </w:r>
      <w:bookmarkEnd w:id="11"/>
      <w:bookmarkEnd w:id="14"/>
    </w:p>
    <w:p w14:paraId="4A76E289" w14:textId="68C06166" w:rsidR="00503E2C" w:rsidRDefault="005C13BD" w:rsidP="00503E2C">
      <w:pPr>
        <w:jc w:val="both"/>
      </w:pPr>
      <w:r>
        <w:t xml:space="preserve">This document describes the risk management plan </w:t>
      </w:r>
      <w:r w:rsidR="00AF139A">
        <w:t xml:space="preserve">for </w:t>
      </w:r>
      <w:r w:rsidR="007537C6">
        <w:t xml:space="preserve">the </w:t>
      </w:r>
      <w:r w:rsidR="00503E2C" w:rsidRPr="00472CA3">
        <w:t>Lattice Quantum Chromodynamics</w:t>
      </w:r>
      <w:r w:rsidR="007537C6">
        <w:t xml:space="preserve"> </w:t>
      </w:r>
      <w:r w:rsidR="00503E2C" w:rsidRPr="00472CA3">
        <w:t>Computing Research Program Extension III</w:t>
      </w:r>
      <w:r w:rsidR="00503E2C">
        <w:t xml:space="preserve"> (LQCD-ext III) for the period FY2020 through FY2024.</w:t>
      </w:r>
    </w:p>
    <w:p w14:paraId="3A4A63D4" w14:textId="3829ADE6" w:rsidR="00317B4F" w:rsidRDefault="00EB4627" w:rsidP="00317B4F">
      <w:pPr>
        <w:jc w:val="both"/>
      </w:pPr>
      <w:r>
        <w:t>This do</w:t>
      </w:r>
      <w:r w:rsidR="00317B4F">
        <w:t>cument and the associated Risk R</w:t>
      </w:r>
      <w:r>
        <w:t>egister</w:t>
      </w:r>
      <w:r w:rsidR="00251DD2">
        <w:rPr>
          <w:rStyle w:val="EndnoteReference"/>
        </w:rPr>
        <w:endnoteReference w:id="1"/>
      </w:r>
      <w:r>
        <w:t xml:space="preserve"> are </w:t>
      </w:r>
      <w:r w:rsidR="002A5A91">
        <w:t>LQCD-ext II</w:t>
      </w:r>
      <w:r w:rsidR="00503E2C">
        <w:t xml:space="preserve">I </w:t>
      </w:r>
      <w:r>
        <w:t xml:space="preserve">Controlled Documents. </w:t>
      </w:r>
    </w:p>
    <w:p w14:paraId="52E48DFD" w14:textId="77777777" w:rsidR="00317B4F" w:rsidRDefault="00317B4F" w:rsidP="00317B4F">
      <w:pPr>
        <w:jc w:val="both"/>
      </w:pPr>
    </w:p>
    <w:p w14:paraId="05D1BD57" w14:textId="24B2F75F" w:rsidR="00503E2C" w:rsidRDefault="00503E2C" w:rsidP="00503E2C">
      <w:pPr>
        <w:jc w:val="both"/>
      </w:pPr>
      <w:r>
        <w:t>The LQCD</w:t>
      </w:r>
      <w:r w:rsidR="004775EC">
        <w:t>-ext III</w:t>
      </w:r>
      <w:r>
        <w:t xml:space="preserve"> research program </w:t>
      </w:r>
      <w:r w:rsidR="004775EC">
        <w:t xml:space="preserve">(hereafter LQCD) </w:t>
      </w:r>
      <w:r>
        <w:t xml:space="preserve">is an extension of the LQCD-ext II project, which is funded through FY2019. It will support the continued acquisition and operation of institutional </w:t>
      </w:r>
      <w:r w:rsidR="001B0681">
        <w:t xml:space="preserve">cluster </w:t>
      </w:r>
      <w:r>
        <w:t xml:space="preserve">computing </w:t>
      </w:r>
      <w:r w:rsidR="001B0681">
        <w:t xml:space="preserve">resources </w:t>
      </w:r>
      <w:r>
        <w:t xml:space="preserve">located at Brookhaven National Laboratory (BNL) and Fermi National Accelerator Laboratory (FNAL). </w:t>
      </w:r>
      <w:r w:rsidR="001B0681">
        <w:t xml:space="preserve"> </w:t>
      </w:r>
      <w:r>
        <w:t xml:space="preserve">BNL and FNAL provide facilities and infrastructure that deliver the mid-scale computing required by the LQCD program. They </w:t>
      </w:r>
      <w:r w:rsidR="007537C6">
        <w:t xml:space="preserve">also </w:t>
      </w:r>
      <w:r>
        <w:t>provide computing professionals to plan, design, deploy, and operate the computing systems.</w:t>
      </w:r>
    </w:p>
    <w:p w14:paraId="3E256DBF" w14:textId="77777777" w:rsidR="00B56783" w:rsidRDefault="00B56783" w:rsidP="00EB4627"/>
    <w:p w14:paraId="3CF013BA" w14:textId="77777777" w:rsidR="00EB4627" w:rsidRDefault="00EB4627" w:rsidP="00640ED2">
      <w:pPr>
        <w:pStyle w:val="Heading1"/>
      </w:pPr>
      <w:bookmarkStart w:id="15" w:name="_Toc223248596"/>
      <w:bookmarkStart w:id="16" w:name="_Toc10621186"/>
      <w:r>
        <w:t>Overview of the Risk Management Plan</w:t>
      </w:r>
      <w:bookmarkEnd w:id="15"/>
      <w:bookmarkEnd w:id="16"/>
    </w:p>
    <w:p w14:paraId="61318A27" w14:textId="77777777" w:rsidR="00EB4627" w:rsidRDefault="00EB4627" w:rsidP="00EB4627">
      <w:pPr>
        <w:pStyle w:val="Heading2"/>
      </w:pPr>
      <w:bookmarkStart w:id="17" w:name="_Toc223248597"/>
      <w:bookmarkStart w:id="18" w:name="_Toc10621187"/>
      <w:r>
        <w:t>Purpose and Objective</w:t>
      </w:r>
      <w:bookmarkEnd w:id="17"/>
      <w:bookmarkEnd w:id="18"/>
    </w:p>
    <w:p w14:paraId="448DF43A" w14:textId="2F29628B" w:rsidR="00EB4627" w:rsidRDefault="00EB4627" w:rsidP="00795088">
      <w:pPr>
        <w:jc w:val="both"/>
      </w:pPr>
      <w:r>
        <w:t xml:space="preserve">As defined in the </w:t>
      </w:r>
      <w:r w:rsidR="002A5A91">
        <w:t>LQCD-ext II</w:t>
      </w:r>
      <w:r w:rsidR="00822AA9">
        <w:t>I</w:t>
      </w:r>
      <w:r>
        <w:t xml:space="preserve"> Project Execution Plan</w:t>
      </w:r>
      <w:r w:rsidR="007537C6">
        <w:t xml:space="preserve"> (PEP)</w:t>
      </w:r>
      <w:r>
        <w:t xml:space="preserve">, the Integrated Project Team (IPT) views risk management as an ongoing </w:t>
      </w:r>
      <w:r w:rsidR="00AF139A">
        <w:t>activity</w:t>
      </w:r>
      <w:r>
        <w:t xml:space="preserve"> that is accomplished using a formalized plan</w:t>
      </w:r>
      <w:r w:rsidR="007A7436">
        <w:t xml:space="preserve"> </w:t>
      </w:r>
      <w:r>
        <w:t xml:space="preserve">to identify, analyze, mitigate and monitor the risks that arise during </w:t>
      </w:r>
      <w:r w:rsidR="001B0681">
        <w:t>program execution</w:t>
      </w:r>
      <w:r w:rsidR="00795088">
        <w:t xml:space="preserve">. </w:t>
      </w:r>
      <w:r w:rsidR="002A5A91">
        <w:t>LQCD</w:t>
      </w:r>
      <w:r>
        <w:t xml:space="preserve"> established its risk management plan during the early stages of the project using the guidelines set forth in Chapter 14 of DOE Publication M 413.3-1</w:t>
      </w:r>
      <w:r w:rsidR="00D447E6">
        <w:rPr>
          <w:rStyle w:val="EndnoteReference"/>
        </w:rPr>
        <w:endnoteReference w:id="2"/>
      </w:r>
      <w:r>
        <w:t>, Project Management for the Acquisition of Capital Assets. The current revision is based on the guidance provided in the Guide to the Project Management Body of Knowle</w:t>
      </w:r>
      <w:r w:rsidR="00BF0B85">
        <w:t>dge</w:t>
      </w:r>
      <w:r w:rsidR="00D447E6">
        <w:rPr>
          <w:rStyle w:val="EndnoteReference"/>
        </w:rPr>
        <w:endnoteReference w:id="3"/>
      </w:r>
      <w:r w:rsidR="00317B4F">
        <w:t xml:space="preserve"> </w:t>
      </w:r>
      <w:r>
        <w:t>and the OMB Circular Number A-11 Part 7 Capital Programming Guide</w:t>
      </w:r>
      <w:r w:rsidR="00D447E6">
        <w:rPr>
          <w:rStyle w:val="EndnoteReference"/>
        </w:rPr>
        <w:endnoteReference w:id="4"/>
      </w:r>
      <w:r>
        <w:t>.</w:t>
      </w:r>
    </w:p>
    <w:p w14:paraId="14DF2ACB" w14:textId="77777777" w:rsidR="00EB4627" w:rsidRDefault="00EB4627" w:rsidP="00795088">
      <w:pPr>
        <w:jc w:val="both"/>
      </w:pPr>
    </w:p>
    <w:p w14:paraId="27399E8F" w14:textId="2DBE3F50" w:rsidR="00E8432D" w:rsidRDefault="00795088" w:rsidP="00795088">
      <w:pPr>
        <w:jc w:val="both"/>
      </w:pPr>
      <w:bookmarkStart w:id="19" w:name="_Hlk8305383"/>
      <w:r>
        <w:t xml:space="preserve">As defined in these </w:t>
      </w:r>
      <w:r w:rsidR="00EB4627">
        <w:t xml:space="preserve">references, risk is a measure </w:t>
      </w:r>
      <w:r w:rsidR="00822AA9">
        <w:t>for</w:t>
      </w:r>
      <w:r w:rsidR="00EB4627">
        <w:t xml:space="preserve"> the potential of failing to achieve </w:t>
      </w:r>
      <w:r w:rsidR="002B72DD">
        <w:t>overall objectives</w:t>
      </w:r>
      <w:r w:rsidR="00EB4627">
        <w:t xml:space="preserve"> within the defined scope, cost, schedule and technical constraints. </w:t>
      </w:r>
      <w:bookmarkEnd w:id="19"/>
      <w:r w:rsidR="00EB4627">
        <w:t xml:space="preserve">The purpose of this document is to describe </w:t>
      </w:r>
      <w:r w:rsidR="007537C6">
        <w:t xml:space="preserve">1) </w:t>
      </w:r>
      <w:r w:rsidR="00EB4627">
        <w:t xml:space="preserve">how </w:t>
      </w:r>
      <w:r w:rsidR="001B0681">
        <w:t xml:space="preserve">the </w:t>
      </w:r>
      <w:r w:rsidR="002A5A91">
        <w:t>LQCD</w:t>
      </w:r>
      <w:r w:rsidR="00EB4627">
        <w:t xml:space="preserve"> IPT plans to </w:t>
      </w:r>
      <w:r w:rsidR="007537C6">
        <w:t xml:space="preserve">manage and </w:t>
      </w:r>
      <w:r w:rsidR="00EB4627">
        <w:t>minimize risks</w:t>
      </w:r>
      <w:r w:rsidR="007537C6">
        <w:t>;</w:t>
      </w:r>
      <w:r w:rsidR="00EB4627">
        <w:t xml:space="preserve"> and </w:t>
      </w:r>
      <w:r w:rsidR="007537C6">
        <w:t xml:space="preserve">2) </w:t>
      </w:r>
      <w:r w:rsidR="00EB4627">
        <w:t xml:space="preserve">document actions to </w:t>
      </w:r>
      <w:r w:rsidR="00E8432D">
        <w:t xml:space="preserve">be </w:t>
      </w:r>
      <w:r w:rsidR="00EB4627">
        <w:t xml:space="preserve">put in place in a timely and consistent manner in case </w:t>
      </w:r>
      <w:r w:rsidR="007A7436">
        <w:t>of an occurrence</w:t>
      </w:r>
      <w:r w:rsidR="00EB4627">
        <w:t xml:space="preserve">. </w:t>
      </w:r>
    </w:p>
    <w:p w14:paraId="3A62D494" w14:textId="77777777" w:rsidR="00E8432D" w:rsidRDefault="00E8432D" w:rsidP="00795088">
      <w:pPr>
        <w:jc w:val="both"/>
      </w:pPr>
    </w:p>
    <w:p w14:paraId="5079596E" w14:textId="4C8C5CE9" w:rsidR="00506F37" w:rsidRDefault="00EB4627" w:rsidP="00795088">
      <w:pPr>
        <w:jc w:val="both"/>
      </w:pPr>
      <w:r>
        <w:t xml:space="preserve">The </w:t>
      </w:r>
      <w:r w:rsidR="002A5A91">
        <w:t>LQCD</w:t>
      </w:r>
      <w:r>
        <w:t xml:space="preserve"> risk management strategy is to avoid risk as much as possible by </w:t>
      </w:r>
      <w:r w:rsidR="007A7436">
        <w:t>identify</w:t>
      </w:r>
      <w:r>
        <w:t xml:space="preserve">ing </w:t>
      </w:r>
      <w:r w:rsidR="00AF139A">
        <w:t>p</w:t>
      </w:r>
      <w:r>
        <w:t>ossible risks and devising me</w:t>
      </w:r>
      <w:r w:rsidR="00795088">
        <w:t xml:space="preserve">thodologies for managing them. </w:t>
      </w:r>
      <w:r w:rsidR="002A5A91">
        <w:t>LQCD</w:t>
      </w:r>
      <w:r w:rsidR="00BA3ED5">
        <w:t xml:space="preserve"> risks </w:t>
      </w:r>
      <w:r w:rsidR="007537C6">
        <w:t>are focused in two areas:</w:t>
      </w:r>
      <w:r w:rsidR="00506F37">
        <w:t xml:space="preserve"> </w:t>
      </w:r>
    </w:p>
    <w:p w14:paraId="5A68A6D4" w14:textId="77777777" w:rsidR="00506F37" w:rsidRDefault="00506F37" w:rsidP="00795088">
      <w:pPr>
        <w:jc w:val="both"/>
      </w:pPr>
    </w:p>
    <w:p w14:paraId="580FBF29" w14:textId="1AA8E04A" w:rsidR="007A7436" w:rsidRDefault="007A7436" w:rsidP="007A7436">
      <w:pPr>
        <w:pStyle w:val="ListParagraph"/>
        <w:numPr>
          <w:ilvl w:val="0"/>
          <w:numId w:val="36"/>
        </w:numPr>
        <w:jc w:val="both"/>
      </w:pPr>
      <w:r>
        <w:t xml:space="preserve">Enclave-based risks associated with the hosting laboratories.  Computing systems used by LQCD remain under the jurisdiction of the hosting laboratories as a part of their General Enclaves. Each host laboratory is responsible for implementing risk management plans that address enclave-based risks such as security, privacy, and business continuity. Enclave-based risk management methods are addressed in laboratory-specific documents and mitigated by laboratory-specific technologies. </w:t>
      </w:r>
    </w:p>
    <w:p w14:paraId="422F7966" w14:textId="77777777" w:rsidR="00192B58" w:rsidRDefault="00192B58" w:rsidP="00A332F3">
      <w:pPr>
        <w:jc w:val="both"/>
      </w:pPr>
    </w:p>
    <w:p w14:paraId="13D31EDC" w14:textId="3E55AD51" w:rsidR="00A87811" w:rsidRDefault="00506F37" w:rsidP="00795088">
      <w:pPr>
        <w:numPr>
          <w:ilvl w:val="0"/>
          <w:numId w:val="36"/>
        </w:numPr>
        <w:jc w:val="both"/>
      </w:pPr>
      <w:r>
        <w:t>Pro</w:t>
      </w:r>
      <w:r w:rsidR="00E8432D">
        <w:t>gram</w:t>
      </w:r>
      <w:r>
        <w:t>-based risks associated</w:t>
      </w:r>
      <w:r w:rsidR="00E8432D">
        <w:t xml:space="preserve"> </w:t>
      </w:r>
      <w:r w:rsidR="00BA3ED5">
        <w:t>with overall pro</w:t>
      </w:r>
      <w:r w:rsidR="00E8432D">
        <w:t>gram</w:t>
      </w:r>
      <w:r w:rsidR="00BA3ED5">
        <w:t xml:space="preserve"> execution.</w:t>
      </w:r>
    </w:p>
    <w:p w14:paraId="28077E15" w14:textId="77777777" w:rsidR="00EB4627" w:rsidRDefault="00EB4627" w:rsidP="00795088">
      <w:pPr>
        <w:pStyle w:val="Heading2"/>
        <w:jc w:val="both"/>
      </w:pPr>
      <w:bookmarkStart w:id="20" w:name="_Toc10620801"/>
      <w:bookmarkStart w:id="21" w:name="_Toc10621120"/>
      <w:bookmarkStart w:id="22" w:name="_Toc10621159"/>
      <w:bookmarkStart w:id="23" w:name="_Toc10621188"/>
      <w:bookmarkStart w:id="24" w:name="_Toc223513256"/>
      <w:bookmarkStart w:id="25" w:name="_Toc223513566"/>
      <w:bookmarkStart w:id="26" w:name="_Toc223248598"/>
      <w:bookmarkStart w:id="27" w:name="_Toc10621189"/>
      <w:bookmarkEnd w:id="20"/>
      <w:bookmarkEnd w:id="21"/>
      <w:bookmarkEnd w:id="22"/>
      <w:bookmarkEnd w:id="23"/>
      <w:bookmarkEnd w:id="24"/>
      <w:bookmarkEnd w:id="25"/>
      <w:r>
        <w:t>Responsibility</w:t>
      </w:r>
      <w:bookmarkEnd w:id="26"/>
      <w:bookmarkEnd w:id="27"/>
    </w:p>
    <w:p w14:paraId="427CA64C" w14:textId="5BF1822D" w:rsidR="00EB4627" w:rsidRDefault="00EB4627" w:rsidP="00795088">
      <w:pPr>
        <w:jc w:val="both"/>
      </w:pPr>
      <w:r w:rsidRPr="00184444">
        <w:t xml:space="preserve">The final responsibility for risk management rests with the </w:t>
      </w:r>
      <w:r w:rsidR="00795088" w:rsidRPr="00184444">
        <w:rPr>
          <w:bCs/>
        </w:rPr>
        <w:t>Contract</w:t>
      </w:r>
      <w:r w:rsidRPr="00184444">
        <w:rPr>
          <w:bCs/>
        </w:rPr>
        <w:t xml:space="preserve"> Project Manager</w:t>
      </w:r>
      <w:r w:rsidR="00795088" w:rsidRPr="00184444">
        <w:rPr>
          <w:bCs/>
        </w:rPr>
        <w:t xml:space="preserve"> (CPM)</w:t>
      </w:r>
      <w:r w:rsidRPr="00184444">
        <w:t>,</w:t>
      </w:r>
      <w:r w:rsidR="00BA3ED5" w:rsidRPr="00184444">
        <w:t xml:space="preserve"> who takes appropriate measures</w:t>
      </w:r>
      <w:r w:rsidRPr="00184444">
        <w:t xml:space="preserve"> in consultation with the </w:t>
      </w:r>
      <w:r w:rsidR="002A5A91" w:rsidRPr="00184444">
        <w:t>LQCD</w:t>
      </w:r>
      <w:r w:rsidR="00FB57C5" w:rsidRPr="00184444">
        <w:t xml:space="preserve"> IPT</w:t>
      </w:r>
      <w:r w:rsidRPr="00184444">
        <w:t xml:space="preserve">, the </w:t>
      </w:r>
      <w:r w:rsidR="00FB57C5" w:rsidRPr="00184444">
        <w:t xml:space="preserve">USQCD </w:t>
      </w:r>
      <w:r w:rsidRPr="00184444">
        <w:t>Executive Committee</w:t>
      </w:r>
      <w:r w:rsidR="00822AA9" w:rsidRPr="00184444">
        <w:t>,</w:t>
      </w:r>
      <w:r w:rsidRPr="00184444">
        <w:t xml:space="preserve"> and other </w:t>
      </w:r>
      <w:r w:rsidR="00E8432D" w:rsidRPr="00184444">
        <w:t>stakeholder</w:t>
      </w:r>
      <w:r w:rsidRPr="00184444">
        <w:t xml:space="preserve">s.  Designated Site Managers at each site are responsible for </w:t>
      </w:r>
      <w:r w:rsidR="00E8432D" w:rsidRPr="00184444">
        <w:t>managing</w:t>
      </w:r>
      <w:r w:rsidRPr="00184444">
        <w:t xml:space="preserve"> </w:t>
      </w:r>
      <w:r w:rsidR="00822AA9" w:rsidRPr="00184444">
        <w:t>site-</w:t>
      </w:r>
      <w:r w:rsidR="00822AA9" w:rsidRPr="00184444">
        <w:lastRenderedPageBreak/>
        <w:t>specific</w:t>
      </w:r>
      <w:r w:rsidRPr="00184444">
        <w:t xml:space="preserve"> risks. </w:t>
      </w:r>
      <w:r w:rsidR="00192B58" w:rsidRPr="00184444">
        <w:t>Notwithstanding</w:t>
      </w:r>
      <w:r w:rsidRPr="00184444">
        <w:t xml:space="preserve">, effective risk management is an iterative, multi-step process that requires </w:t>
      </w:r>
      <w:r w:rsidR="00795088" w:rsidRPr="00184444">
        <w:t xml:space="preserve">the </w:t>
      </w:r>
      <w:r w:rsidRPr="00184444">
        <w:t>continued involvement of all project mem</w:t>
      </w:r>
      <w:r w:rsidR="00317B4F" w:rsidRPr="00184444">
        <w:t>bers.</w:t>
      </w:r>
    </w:p>
    <w:p w14:paraId="43049411" w14:textId="77777777" w:rsidR="00317B4F" w:rsidRDefault="00317B4F" w:rsidP="00795088">
      <w:pPr>
        <w:jc w:val="both"/>
      </w:pPr>
    </w:p>
    <w:p w14:paraId="21B11D94" w14:textId="77777777" w:rsidR="00EB4627" w:rsidRDefault="00EB4627" w:rsidP="00795088">
      <w:pPr>
        <w:pStyle w:val="Heading1"/>
        <w:jc w:val="both"/>
      </w:pPr>
      <w:bookmarkStart w:id="28" w:name="_Toc223248600"/>
      <w:bookmarkStart w:id="29" w:name="_Toc10621190"/>
      <w:r>
        <w:t>Risk Assessment</w:t>
      </w:r>
      <w:bookmarkEnd w:id="28"/>
      <w:bookmarkEnd w:id="29"/>
    </w:p>
    <w:p w14:paraId="22C88298" w14:textId="5CCB3699" w:rsidR="00EB4627" w:rsidRDefault="00184444" w:rsidP="00795088">
      <w:pPr>
        <w:jc w:val="both"/>
      </w:pPr>
      <w:r w:rsidRPr="00A332F3">
        <w:t xml:space="preserve">Since a </w:t>
      </w:r>
      <w:r w:rsidR="007A7436" w:rsidRPr="00A332F3">
        <w:t xml:space="preserve">key requirement is to deliver high performance computing </w:t>
      </w:r>
      <w:r w:rsidR="00EB4627" w:rsidRPr="00184444">
        <w:t>that optimize</w:t>
      </w:r>
      <w:r w:rsidR="007A7436" w:rsidRPr="00A332F3">
        <w:t>s</w:t>
      </w:r>
      <w:r w:rsidR="00EB4627" w:rsidRPr="00184444">
        <w:t xml:space="preserve"> performance/price ratio for LQCD computing, it is necessary to accept certain levels of risks to achieve the scientific objectives of the pro</w:t>
      </w:r>
      <w:r w:rsidR="007A7436" w:rsidRPr="00A332F3">
        <w:t>gram</w:t>
      </w:r>
      <w:r w:rsidR="00EB4627" w:rsidRPr="00184444">
        <w:t xml:space="preserve">.  Eliminating risk entirely is not </w:t>
      </w:r>
      <w:r w:rsidR="00795088" w:rsidRPr="00184444">
        <w:t>a viable</w:t>
      </w:r>
      <w:r w:rsidR="00EB4627" w:rsidRPr="00184444">
        <w:t xml:space="preserve"> option</w:t>
      </w:r>
      <w:r w:rsidRPr="00A332F3">
        <w:t xml:space="preserve"> so t</w:t>
      </w:r>
      <w:r w:rsidR="00EB4627" w:rsidRPr="00184444">
        <w:t xml:space="preserve">he </w:t>
      </w:r>
      <w:r w:rsidR="002A5A91" w:rsidRPr="00184444">
        <w:t>LQCD</w:t>
      </w:r>
      <w:r w:rsidR="00EB4627" w:rsidRPr="00184444">
        <w:t xml:space="preserve"> IPT </w:t>
      </w:r>
      <w:proofErr w:type="gramStart"/>
      <w:r w:rsidRPr="00A332F3">
        <w:t xml:space="preserve">embraces  </w:t>
      </w:r>
      <w:r w:rsidR="00EB4627" w:rsidRPr="00184444">
        <w:t>a</w:t>
      </w:r>
      <w:proofErr w:type="gramEnd"/>
      <w:r w:rsidR="00EB4627" w:rsidRPr="00184444">
        <w:t xml:space="preserve"> “risk aversion to a moderate degree” approach. The strategy is to reduce risk to an acceptable level by </w:t>
      </w:r>
      <w:r w:rsidR="007A7436" w:rsidRPr="00A332F3">
        <w:t xml:space="preserve">effectively </w:t>
      </w:r>
      <w:r w:rsidR="00EB4627" w:rsidRPr="00184444">
        <w:t xml:space="preserve">using </w:t>
      </w:r>
      <w:r w:rsidR="007A7436" w:rsidRPr="00A332F3">
        <w:t xml:space="preserve">management and planning </w:t>
      </w:r>
      <w:r w:rsidR="00EB4627" w:rsidRPr="00184444">
        <w:t xml:space="preserve">to mitigate risks as they arise. </w:t>
      </w:r>
      <w:r w:rsidRPr="00A332F3">
        <w:t xml:space="preserve">The LQCD risk management process is integrated with the technical plans and PEP and </w:t>
      </w:r>
      <w:r w:rsidR="00EB4627" w:rsidRPr="00184444">
        <w:t>various control mechanisms</w:t>
      </w:r>
      <w:r>
        <w:t xml:space="preserve"> are in place</w:t>
      </w:r>
      <w:r w:rsidR="00EB4627" w:rsidRPr="00184444">
        <w:t xml:space="preserve"> to manage residual risks. </w:t>
      </w:r>
    </w:p>
    <w:p w14:paraId="0146D42B" w14:textId="77777777" w:rsidR="00BC225E" w:rsidRDefault="003A2444">
      <w:pPr>
        <w:pStyle w:val="Heading2"/>
        <w:jc w:val="both"/>
      </w:pPr>
      <w:bookmarkStart w:id="30" w:name="_Toc10620804"/>
      <w:bookmarkStart w:id="31" w:name="_Toc10621123"/>
      <w:bookmarkStart w:id="32" w:name="_Toc10621162"/>
      <w:bookmarkStart w:id="33" w:name="_Toc10621191"/>
      <w:bookmarkStart w:id="34" w:name="_Toc10621192"/>
      <w:bookmarkEnd w:id="30"/>
      <w:bookmarkEnd w:id="31"/>
      <w:bookmarkEnd w:id="32"/>
      <w:bookmarkEnd w:id="33"/>
      <w:r>
        <w:t>Risk Assessment P</w:t>
      </w:r>
      <w:r w:rsidR="00BC225E">
        <w:t>lanning</w:t>
      </w:r>
      <w:bookmarkEnd w:id="34"/>
    </w:p>
    <w:p w14:paraId="3C545C2F" w14:textId="47C2F0F6" w:rsidR="00A830CD" w:rsidRDefault="00A830CD" w:rsidP="00795088">
      <w:pPr>
        <w:jc w:val="both"/>
      </w:pPr>
      <w:r>
        <w:t xml:space="preserve">The annual planning process includes identifying and reviewing risks, determining probability of occurrence and degree of impact, and developing risk mitigation strategies. </w:t>
      </w:r>
      <w:r w:rsidR="00DB7A59">
        <w:t xml:space="preserve"> </w:t>
      </w:r>
      <w:r>
        <w:t>Annual planning considers</w:t>
      </w:r>
      <w:r w:rsidR="00DB7A59">
        <w:t xml:space="preserve"> all factors affecting</w:t>
      </w:r>
      <w:r>
        <w:t xml:space="preserve"> </w:t>
      </w:r>
      <w:r w:rsidR="00FF093F">
        <w:t xml:space="preserve">operations and technical performance. </w:t>
      </w:r>
    </w:p>
    <w:p w14:paraId="2D3F66AE" w14:textId="77777777" w:rsidR="00A830CD" w:rsidRDefault="00A830CD" w:rsidP="00795088">
      <w:pPr>
        <w:jc w:val="both"/>
      </w:pPr>
    </w:p>
    <w:p w14:paraId="1C74D6F5" w14:textId="45598222" w:rsidR="00FF093F" w:rsidRDefault="00EB4627" w:rsidP="00795088">
      <w:pPr>
        <w:jc w:val="both"/>
      </w:pPr>
      <w:r>
        <w:t>Technical plan</w:t>
      </w:r>
      <w:r w:rsidR="000F4A14">
        <w:t>s that support LQCD</w:t>
      </w:r>
      <w:r>
        <w:t xml:space="preserve"> </w:t>
      </w:r>
      <w:r w:rsidR="00A830CD">
        <w:t xml:space="preserve">include </w:t>
      </w:r>
      <w:r w:rsidR="000F4A14">
        <w:t xml:space="preserve">annual </w:t>
      </w:r>
      <w:r>
        <w:t>acquisition plans</w:t>
      </w:r>
      <w:r w:rsidR="000F4A14">
        <w:t xml:space="preserve"> and</w:t>
      </w:r>
      <w:r>
        <w:t xml:space="preserve"> </w:t>
      </w:r>
      <w:r w:rsidR="000F4A14">
        <w:t>alternative analyses documents</w:t>
      </w:r>
      <w:r w:rsidR="00A830CD">
        <w:t xml:space="preserve">, both of which contain descriptions and potential impacts of risks associated with annual hardware acquisitions.  </w:t>
      </w:r>
    </w:p>
    <w:p w14:paraId="74147585" w14:textId="77777777" w:rsidR="00FF093F" w:rsidRDefault="00FF093F" w:rsidP="00795088">
      <w:pPr>
        <w:jc w:val="both"/>
      </w:pPr>
    </w:p>
    <w:p w14:paraId="15462C06" w14:textId="68E5DF96" w:rsidR="00EB4627" w:rsidRDefault="00A830CD" w:rsidP="00795088">
      <w:pPr>
        <w:jc w:val="both"/>
      </w:pPr>
      <w:r>
        <w:t>Identified risks are documented in the LQC</w:t>
      </w:r>
      <w:r w:rsidR="00DB7A59">
        <w:t>D</w:t>
      </w:r>
      <w:r>
        <w:t xml:space="preserve"> Risk Register, which also contains records of outcomes of the qualitative risk assessment.</w:t>
      </w:r>
      <w:r w:rsidR="007537C6">
        <w:t xml:space="preserve">  </w:t>
      </w:r>
      <w:r w:rsidR="00EB4627">
        <w:t>A change management process, outlined in the</w:t>
      </w:r>
      <w:r w:rsidR="00EB4627" w:rsidRPr="004C4644">
        <w:t xml:space="preserve"> </w:t>
      </w:r>
      <w:r w:rsidR="002A5A91">
        <w:t>LQCD</w:t>
      </w:r>
      <w:r w:rsidR="00DB7A59">
        <w:t xml:space="preserve"> PEP,</w:t>
      </w:r>
      <w:r w:rsidR="00EB4627">
        <w:t xml:space="preserve"> is in place to manage </w:t>
      </w:r>
      <w:r>
        <w:t xml:space="preserve">significant </w:t>
      </w:r>
      <w:r w:rsidR="00EB4627">
        <w:t xml:space="preserve">changes </w:t>
      </w:r>
      <w:r w:rsidR="000F4A14">
        <w:t>required</w:t>
      </w:r>
      <w:r w:rsidR="00EB4627">
        <w:t xml:space="preserve"> to </w:t>
      </w:r>
      <w:r w:rsidR="00DB7A59">
        <w:t>address</w:t>
      </w:r>
      <w:r w:rsidR="00EB4627">
        <w:t xml:space="preserve"> realized risks. </w:t>
      </w:r>
      <w:r>
        <w:t xml:space="preserve"> </w:t>
      </w:r>
    </w:p>
    <w:p w14:paraId="401390B6" w14:textId="55BF7F91" w:rsidR="00BC225E" w:rsidRDefault="003A2444">
      <w:pPr>
        <w:pStyle w:val="Heading2"/>
        <w:jc w:val="both"/>
      </w:pPr>
      <w:bookmarkStart w:id="35" w:name="_Toc10620806"/>
      <w:bookmarkStart w:id="36" w:name="_Toc10621125"/>
      <w:bookmarkStart w:id="37" w:name="_Toc10621164"/>
      <w:bookmarkStart w:id="38" w:name="_Toc10621193"/>
      <w:bookmarkStart w:id="39" w:name="_Toc10620807"/>
      <w:bookmarkStart w:id="40" w:name="_Toc10621126"/>
      <w:bookmarkStart w:id="41" w:name="_Toc10621165"/>
      <w:bookmarkStart w:id="42" w:name="_Toc10621194"/>
      <w:bookmarkStart w:id="43" w:name="_Toc10621195"/>
      <w:bookmarkEnd w:id="35"/>
      <w:bookmarkEnd w:id="36"/>
      <w:bookmarkEnd w:id="37"/>
      <w:bookmarkEnd w:id="38"/>
      <w:bookmarkEnd w:id="39"/>
      <w:bookmarkEnd w:id="40"/>
      <w:bookmarkEnd w:id="41"/>
      <w:bookmarkEnd w:id="42"/>
      <w:r>
        <w:t>Risk M</w:t>
      </w:r>
      <w:r w:rsidR="00BC225E">
        <w:t>anagement</w:t>
      </w:r>
      <w:r w:rsidR="00D63871">
        <w:t xml:space="preserve"> Execution</w:t>
      </w:r>
      <w:bookmarkEnd w:id="43"/>
    </w:p>
    <w:p w14:paraId="49A373BD" w14:textId="080439A1" w:rsidR="00EB4627" w:rsidRDefault="004E4E9B" w:rsidP="00795088">
      <w:pPr>
        <w:jc w:val="both"/>
      </w:pPr>
      <w:r>
        <w:t xml:space="preserve">Throughout </w:t>
      </w:r>
      <w:r w:rsidR="00EB4627">
        <w:t>the pro</w:t>
      </w:r>
      <w:r>
        <w:t>gram lifecycle</w:t>
      </w:r>
      <w:r w:rsidR="00EB4627">
        <w:t xml:space="preserve">, the </w:t>
      </w:r>
      <w:r w:rsidR="002A5A91">
        <w:t>LQC</w:t>
      </w:r>
      <w:r w:rsidR="00DB7A59">
        <w:t>D</w:t>
      </w:r>
      <w:r w:rsidR="00EB4627">
        <w:t xml:space="preserve"> IPT </w:t>
      </w:r>
      <w:r>
        <w:t>periodically</w:t>
      </w:r>
      <w:r w:rsidR="00822AA9">
        <w:t xml:space="preserve"> </w:t>
      </w:r>
      <w:r w:rsidR="00EB4627">
        <w:t>evaluates risk by using management</w:t>
      </w:r>
      <w:r w:rsidR="007537C6">
        <w:t xml:space="preserve"> tools and</w:t>
      </w:r>
      <w:r w:rsidR="00EB4627">
        <w:t xml:space="preserve"> metrics</w:t>
      </w:r>
      <w:r>
        <w:t>,</w:t>
      </w:r>
      <w:r w:rsidR="00EB4627">
        <w:t xml:space="preserve"> including:</w:t>
      </w:r>
    </w:p>
    <w:p w14:paraId="1E9C051C" w14:textId="77777777" w:rsidR="00EB4627" w:rsidRDefault="00EB4627" w:rsidP="00795088">
      <w:pPr>
        <w:jc w:val="both"/>
      </w:pPr>
    </w:p>
    <w:p w14:paraId="07F27B5A" w14:textId="1734B94A" w:rsidR="004E4E9B" w:rsidRDefault="004E4E9B" w:rsidP="00795088">
      <w:pPr>
        <w:pStyle w:val="ListParagraph"/>
        <w:numPr>
          <w:ilvl w:val="0"/>
          <w:numId w:val="40"/>
        </w:numPr>
        <w:jc w:val="both"/>
      </w:pPr>
      <w:r>
        <w:t>Bi-weekly site manager meetings</w:t>
      </w:r>
    </w:p>
    <w:p w14:paraId="627CC8C7" w14:textId="2253E7DB" w:rsidR="00EB4627" w:rsidRDefault="00EB4627" w:rsidP="00795088">
      <w:pPr>
        <w:pStyle w:val="ListParagraph"/>
        <w:numPr>
          <w:ilvl w:val="0"/>
          <w:numId w:val="40"/>
        </w:numPr>
        <w:jc w:val="both"/>
      </w:pPr>
      <w:r>
        <w:t xml:space="preserve">Monthly project completion </w:t>
      </w:r>
      <w:r w:rsidR="00752462">
        <w:t xml:space="preserve">status </w:t>
      </w:r>
      <w:r>
        <w:t xml:space="preserve">reports   </w:t>
      </w:r>
    </w:p>
    <w:p w14:paraId="682F70AD" w14:textId="77777777" w:rsidR="00EB4627" w:rsidRDefault="00EB4627" w:rsidP="00795088">
      <w:pPr>
        <w:pStyle w:val="ListParagraph"/>
        <w:numPr>
          <w:ilvl w:val="0"/>
          <w:numId w:val="40"/>
        </w:numPr>
        <w:jc w:val="both"/>
      </w:pPr>
      <w:r>
        <w:t>Monthly financial status reports</w:t>
      </w:r>
    </w:p>
    <w:p w14:paraId="7F029CBF" w14:textId="77777777" w:rsidR="00EB4627" w:rsidRDefault="00EB4627" w:rsidP="00795088">
      <w:pPr>
        <w:pStyle w:val="ListParagraph"/>
        <w:numPr>
          <w:ilvl w:val="0"/>
          <w:numId w:val="40"/>
        </w:numPr>
        <w:jc w:val="both"/>
      </w:pPr>
      <w:r>
        <w:t>Monthly technical accomplishment reports</w:t>
      </w:r>
    </w:p>
    <w:p w14:paraId="22444DEA" w14:textId="0C9A0260" w:rsidR="00EB4627" w:rsidRDefault="00EB4627" w:rsidP="00795088">
      <w:pPr>
        <w:pStyle w:val="ListParagraph"/>
        <w:numPr>
          <w:ilvl w:val="0"/>
          <w:numId w:val="40"/>
        </w:numPr>
        <w:jc w:val="both"/>
      </w:pPr>
      <w:r>
        <w:t>Change requests and their approvals or rejections</w:t>
      </w:r>
    </w:p>
    <w:p w14:paraId="0B59E4BC" w14:textId="3251F89D" w:rsidR="007537C6" w:rsidRDefault="007537C6" w:rsidP="00795088">
      <w:pPr>
        <w:pStyle w:val="ListParagraph"/>
        <w:numPr>
          <w:ilvl w:val="0"/>
          <w:numId w:val="40"/>
        </w:numPr>
        <w:jc w:val="both"/>
      </w:pPr>
      <w:r>
        <w:t xml:space="preserve">Periodic review of </w:t>
      </w:r>
      <w:r w:rsidR="007A7BC0">
        <w:t>risks identified in the Risk Register.</w:t>
      </w:r>
    </w:p>
    <w:p w14:paraId="316DCDAB" w14:textId="77777777" w:rsidR="00EB4627" w:rsidRDefault="00EB4627" w:rsidP="00795088">
      <w:pPr>
        <w:jc w:val="both"/>
      </w:pPr>
    </w:p>
    <w:p w14:paraId="5C77F3C8" w14:textId="25E1A860" w:rsidR="00EB4627" w:rsidRDefault="00C243BC" w:rsidP="00795088">
      <w:pPr>
        <w:jc w:val="both"/>
      </w:pPr>
      <w:r w:rsidRPr="00A332F3">
        <w:t xml:space="preserve">Existing risks and mitigation strategies are reviewed and updated </w:t>
      </w:r>
      <w:r w:rsidR="00E417DC" w:rsidRPr="00A332F3">
        <w:t>as necessary. Whenever a new risk is identified and receives a risk rating of medium or high, a</w:t>
      </w:r>
      <w:r w:rsidR="00822AA9" w:rsidRPr="00CB6756">
        <w:t xml:space="preserve"> risk mitigation strategy </w:t>
      </w:r>
      <w:r w:rsidR="007A7BC0" w:rsidRPr="00A332F3">
        <w:t>is developed and implemented</w:t>
      </w:r>
      <w:r w:rsidR="00E417DC" w:rsidRPr="00A332F3">
        <w:t>.</w:t>
      </w:r>
      <w:r w:rsidRPr="00A332F3">
        <w:t xml:space="preserve">  </w:t>
      </w:r>
      <w:r w:rsidR="00157554" w:rsidRPr="00CB6756">
        <w:t>A</w:t>
      </w:r>
      <w:r w:rsidR="005C13BD" w:rsidRPr="00CB6756">
        <w:t>ny associa</w:t>
      </w:r>
      <w:r w:rsidRPr="00A332F3">
        <w:t xml:space="preserve">ted scope, cost or schedule </w:t>
      </w:r>
      <w:r w:rsidR="006A2115" w:rsidRPr="00CB6756">
        <w:t xml:space="preserve">changes required by mitigation </w:t>
      </w:r>
      <w:r w:rsidR="00E417DC" w:rsidRPr="00A332F3">
        <w:t xml:space="preserve">actions </w:t>
      </w:r>
      <w:r w:rsidR="006A2115" w:rsidRPr="00CB6756">
        <w:t>is handled according t</w:t>
      </w:r>
      <w:r w:rsidR="00157554" w:rsidRPr="00CB6756">
        <w:t>o</w:t>
      </w:r>
      <w:r w:rsidR="006A2115" w:rsidRPr="00CB6756">
        <w:t xml:space="preserve"> the Project Change Control procedure</w:t>
      </w:r>
      <w:r w:rsidR="00EB4627" w:rsidRPr="00CB6756">
        <w:t xml:space="preserve"> described in the</w:t>
      </w:r>
      <w:r w:rsidR="004E4E9B" w:rsidRPr="00CB6756">
        <w:t xml:space="preserve"> PEP</w:t>
      </w:r>
      <w:r w:rsidR="006A2115" w:rsidRPr="00CB6756">
        <w:t>.</w:t>
      </w:r>
    </w:p>
    <w:p w14:paraId="475E9CA3" w14:textId="77777777" w:rsidR="00317B4F" w:rsidRDefault="00317B4F" w:rsidP="00795088">
      <w:pPr>
        <w:jc w:val="both"/>
      </w:pPr>
    </w:p>
    <w:p w14:paraId="13ABF00F" w14:textId="77777777" w:rsidR="00EB4627" w:rsidRDefault="00EB4627" w:rsidP="00795088">
      <w:pPr>
        <w:pStyle w:val="Heading1"/>
        <w:jc w:val="both"/>
      </w:pPr>
      <w:bookmarkStart w:id="44" w:name="_Toc223248601"/>
      <w:bookmarkStart w:id="45" w:name="_Toc10621196"/>
      <w:r>
        <w:t>Risk Identification</w:t>
      </w:r>
      <w:bookmarkEnd w:id="44"/>
      <w:bookmarkEnd w:id="45"/>
    </w:p>
    <w:p w14:paraId="462536EE" w14:textId="4A63ECB3" w:rsidR="00EB4627" w:rsidRDefault="00EB4627" w:rsidP="00795088">
      <w:pPr>
        <w:jc w:val="both"/>
      </w:pPr>
      <w:bookmarkStart w:id="46" w:name="_Toc113782671"/>
      <w:bookmarkStart w:id="47" w:name="_Toc113783053"/>
      <w:bookmarkStart w:id="48" w:name="_Toc113782676"/>
      <w:bookmarkStart w:id="49" w:name="_Toc113783058"/>
      <w:bookmarkStart w:id="50" w:name="_Toc113782678"/>
      <w:bookmarkStart w:id="51" w:name="_Toc113783060"/>
      <w:bookmarkStart w:id="52" w:name="_Toc113782680"/>
      <w:bookmarkStart w:id="53" w:name="_Toc113783062"/>
      <w:bookmarkStart w:id="54" w:name="_Toc113782687"/>
      <w:bookmarkStart w:id="55" w:name="_Toc113783069"/>
      <w:bookmarkStart w:id="56" w:name="_Toc113782688"/>
      <w:bookmarkStart w:id="57" w:name="_Toc113783070"/>
      <w:bookmarkStart w:id="58" w:name="_Toc113782689"/>
      <w:bookmarkStart w:id="59" w:name="_Toc113783071"/>
      <w:bookmarkStart w:id="60" w:name="_Toc113782691"/>
      <w:bookmarkStart w:id="61" w:name="_Toc113783073"/>
      <w:bookmarkStart w:id="62" w:name="_Toc113782694"/>
      <w:bookmarkStart w:id="63" w:name="_Toc113783076"/>
      <w:bookmarkStart w:id="64" w:name="_Toc113782695"/>
      <w:bookmarkStart w:id="65" w:name="_Toc113783077"/>
      <w:bookmarkStart w:id="66" w:name="_Toc113782696"/>
      <w:bookmarkStart w:id="67" w:name="_Toc113783078"/>
      <w:bookmarkStart w:id="68" w:name="_Toc113782699"/>
      <w:bookmarkStart w:id="69" w:name="_Toc113783081"/>
      <w:bookmarkStart w:id="70" w:name="_Toc113782701"/>
      <w:bookmarkStart w:id="71" w:name="_Toc113783083"/>
      <w:bookmarkStart w:id="72" w:name="_Toc113782710"/>
      <w:bookmarkStart w:id="73" w:name="_Toc113783092"/>
      <w:bookmarkStart w:id="74" w:name="_Toc113782712"/>
      <w:bookmarkStart w:id="75" w:name="_Toc113783094"/>
      <w:bookmarkStart w:id="76" w:name="_Toc113782715"/>
      <w:bookmarkStart w:id="77" w:name="_Toc113783097"/>
      <w:bookmarkStart w:id="78" w:name="_Toc113782718"/>
      <w:bookmarkStart w:id="79" w:name="_Toc113783100"/>
      <w:bookmarkStart w:id="80" w:name="_Toc113782720"/>
      <w:bookmarkStart w:id="81" w:name="_Toc113783102"/>
      <w:bookmarkStart w:id="82" w:name="_Toc113782721"/>
      <w:bookmarkStart w:id="83" w:name="_Toc113783103"/>
      <w:bookmarkStart w:id="84" w:name="_Toc113782733"/>
      <w:bookmarkStart w:id="85" w:name="_Toc113783115"/>
      <w:bookmarkStart w:id="86" w:name="_Toc113782734"/>
      <w:bookmarkStart w:id="87" w:name="_Toc113783116"/>
      <w:bookmarkStart w:id="88" w:name="_Toc113782735"/>
      <w:bookmarkStart w:id="89" w:name="_Toc113783117"/>
      <w:bookmarkStart w:id="90" w:name="_Toc113782736"/>
      <w:bookmarkStart w:id="91" w:name="_Toc113783118"/>
      <w:bookmarkStart w:id="92" w:name="_Toc113782737"/>
      <w:bookmarkStart w:id="93" w:name="_Toc113783119"/>
      <w:bookmarkStart w:id="94" w:name="_Toc113782738"/>
      <w:bookmarkStart w:id="95" w:name="_Toc113783120"/>
      <w:bookmarkStart w:id="96" w:name="_Toc113782740"/>
      <w:bookmarkStart w:id="97" w:name="_Toc113783122"/>
      <w:bookmarkStart w:id="98" w:name="_Toc113782746"/>
      <w:bookmarkStart w:id="99" w:name="_Toc113783128"/>
      <w:bookmarkStart w:id="100" w:name="_Toc113782748"/>
      <w:bookmarkStart w:id="101" w:name="_Toc113783130"/>
      <w:bookmarkStart w:id="102" w:name="_Toc113782750"/>
      <w:bookmarkStart w:id="103" w:name="_Toc113783132"/>
      <w:bookmarkStart w:id="104" w:name="_Toc113782759"/>
      <w:bookmarkStart w:id="105" w:name="_Toc113783141"/>
      <w:bookmarkStart w:id="106" w:name="_Toc113782760"/>
      <w:bookmarkStart w:id="107" w:name="_Toc113783142"/>
      <w:bookmarkStart w:id="108" w:name="_Toc113782761"/>
      <w:bookmarkStart w:id="109" w:name="_Toc113783143"/>
      <w:bookmarkStart w:id="110" w:name="_Toc113782763"/>
      <w:bookmarkStart w:id="111" w:name="_Toc113783145"/>
      <w:bookmarkStart w:id="112" w:name="_Toc113782768"/>
      <w:bookmarkStart w:id="113" w:name="_Toc113783150"/>
      <w:bookmarkStart w:id="114" w:name="_Toc113782812"/>
      <w:bookmarkStart w:id="115" w:name="_Toc113783194"/>
      <w:bookmarkStart w:id="116" w:name="_Toc113782814"/>
      <w:bookmarkStart w:id="117" w:name="_Toc113783196"/>
      <w:bookmarkStart w:id="118" w:name="_Toc113782816"/>
      <w:bookmarkStart w:id="119" w:name="_Toc113783198"/>
      <w:bookmarkStart w:id="120" w:name="_Toc113782817"/>
      <w:bookmarkStart w:id="121" w:name="_Toc113783199"/>
      <w:bookmarkStart w:id="122" w:name="_Toc113782818"/>
      <w:bookmarkStart w:id="123" w:name="_Toc113783200"/>
      <w:bookmarkStart w:id="124" w:name="_Toc113782820"/>
      <w:bookmarkStart w:id="125" w:name="_Toc113783202"/>
      <w:bookmarkStart w:id="126" w:name="_Toc113782828"/>
      <w:bookmarkStart w:id="127" w:name="_Toc113783210"/>
      <w:bookmarkStart w:id="128" w:name="_Toc113782831"/>
      <w:bookmarkStart w:id="129" w:name="_Toc113783213"/>
      <w:bookmarkStart w:id="130" w:name="_Toc113782833"/>
      <w:bookmarkStart w:id="131" w:name="_Toc113783215"/>
      <w:bookmarkStart w:id="132" w:name="_Toc113782837"/>
      <w:bookmarkStart w:id="133" w:name="_Toc113783219"/>
      <w:bookmarkStart w:id="134" w:name="_Toc113782839"/>
      <w:bookmarkStart w:id="135" w:name="_Toc113783221"/>
      <w:bookmarkStart w:id="136" w:name="_Toc113782844"/>
      <w:bookmarkStart w:id="137" w:name="_Toc113783226"/>
      <w:bookmarkStart w:id="138" w:name="_Toc113782845"/>
      <w:bookmarkStart w:id="139" w:name="_Toc113783227"/>
      <w:bookmarkStart w:id="140" w:name="_Toc113782847"/>
      <w:bookmarkStart w:id="141" w:name="_Toc113783229"/>
      <w:bookmarkStart w:id="142" w:name="_Toc113782849"/>
      <w:bookmarkStart w:id="143" w:name="_Toc113783231"/>
      <w:bookmarkStart w:id="144" w:name="_Toc113782850"/>
      <w:bookmarkStart w:id="145" w:name="_Toc113783232"/>
      <w:bookmarkStart w:id="146" w:name="_Toc113782851"/>
      <w:bookmarkStart w:id="147" w:name="_Toc113783233"/>
      <w:bookmarkStart w:id="148" w:name="_Toc113782852"/>
      <w:bookmarkStart w:id="149" w:name="_Toc113783234"/>
      <w:bookmarkStart w:id="150" w:name="_Toc113782854"/>
      <w:bookmarkStart w:id="151" w:name="_Toc113783236"/>
      <w:bookmarkStart w:id="152" w:name="_Toc113782856"/>
      <w:bookmarkStart w:id="153" w:name="_Toc113783238"/>
      <w:bookmarkStart w:id="154" w:name="_Toc113782862"/>
      <w:bookmarkStart w:id="155" w:name="_Toc113783244"/>
      <w:bookmarkStart w:id="156" w:name="_Toc113782864"/>
      <w:bookmarkStart w:id="157" w:name="_Toc113783246"/>
      <w:bookmarkStart w:id="158" w:name="_Toc113782865"/>
      <w:bookmarkStart w:id="159" w:name="_Toc113783247"/>
      <w:bookmarkStart w:id="160" w:name="_Toc113782866"/>
      <w:bookmarkStart w:id="161" w:name="_Toc113783248"/>
      <w:bookmarkStart w:id="162" w:name="_Toc113782868"/>
      <w:bookmarkStart w:id="163" w:name="_Toc113783250"/>
      <w:bookmarkStart w:id="164" w:name="_Toc113782869"/>
      <w:bookmarkStart w:id="165" w:name="_Toc113783251"/>
      <w:bookmarkStart w:id="166" w:name="_Toc113782872"/>
      <w:bookmarkStart w:id="167" w:name="_Toc113783254"/>
      <w:bookmarkStart w:id="168" w:name="_Toc113782882"/>
      <w:bookmarkStart w:id="169" w:name="_Toc113783264"/>
      <w:bookmarkStart w:id="170" w:name="_Toc113782883"/>
      <w:bookmarkStart w:id="171" w:name="_Toc113783265"/>
      <w:bookmarkStart w:id="172" w:name="_Toc113782886"/>
      <w:bookmarkStart w:id="173" w:name="_Toc113783268"/>
      <w:bookmarkStart w:id="174" w:name="_Toc113782887"/>
      <w:bookmarkStart w:id="175" w:name="_Toc113783269"/>
      <w:bookmarkStart w:id="176" w:name="_Toc113782888"/>
      <w:bookmarkStart w:id="177" w:name="_Toc113783270"/>
      <w:bookmarkStart w:id="178" w:name="_Toc113782889"/>
      <w:bookmarkStart w:id="179" w:name="_Toc113783271"/>
      <w:bookmarkStart w:id="180" w:name="_Toc113782890"/>
      <w:bookmarkStart w:id="181" w:name="_Toc113783272"/>
      <w:bookmarkStart w:id="182" w:name="_Toc113782892"/>
      <w:bookmarkStart w:id="183" w:name="_Toc113783274"/>
      <w:bookmarkStart w:id="184" w:name="_Toc113782895"/>
      <w:bookmarkStart w:id="185" w:name="_Toc113783277"/>
      <w:bookmarkStart w:id="186" w:name="_Toc113782949"/>
      <w:bookmarkStart w:id="187" w:name="_Toc113783331"/>
      <w:bookmarkStart w:id="188" w:name="_Toc113783025"/>
      <w:bookmarkStart w:id="189" w:name="_Toc113783407"/>
      <w:bookmarkStart w:id="190" w:name="_Toc113783026"/>
      <w:bookmarkStart w:id="191" w:name="_Toc113783408"/>
      <w:bookmarkStart w:id="192" w:name="_Toc113783027"/>
      <w:bookmarkStart w:id="193" w:name="_Toc113783409"/>
      <w:bookmarkStart w:id="194" w:name="_Toc113783028"/>
      <w:bookmarkStart w:id="195" w:name="_Toc113783410"/>
      <w:bookmarkStart w:id="196" w:name="_Toc113783029"/>
      <w:bookmarkStart w:id="197" w:name="_Toc113783411"/>
      <w:bookmarkStart w:id="198" w:name="_Toc113783030"/>
      <w:bookmarkStart w:id="199" w:name="_Toc113783412"/>
      <w:bookmarkStart w:id="200" w:name="_Toc113783031"/>
      <w:bookmarkStart w:id="201" w:name="_Toc113783413"/>
      <w:bookmarkStart w:id="202" w:name="_Toc113783036"/>
      <w:bookmarkStart w:id="203" w:name="_Toc113783418"/>
      <w:bookmarkStart w:id="204" w:name="_Toc113783037"/>
      <w:bookmarkStart w:id="205" w:name="_Toc113783419"/>
      <w:bookmarkStart w:id="206" w:name="_Toc113783039"/>
      <w:bookmarkStart w:id="207" w:name="_Toc113783421"/>
      <w:bookmarkStart w:id="208" w:name="_Toc113783042"/>
      <w:bookmarkStart w:id="209" w:name="_Toc113783424"/>
      <w:bookmarkStart w:id="210" w:name="_Toc113783044"/>
      <w:bookmarkStart w:id="211" w:name="_Toc113783426"/>
      <w:bookmarkStart w:id="212" w:name="_Toc113783046"/>
      <w:bookmarkStart w:id="213" w:name="_Toc1137834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 xml:space="preserve">The </w:t>
      </w:r>
      <w:r w:rsidR="007D79FE">
        <w:t>Risk R</w:t>
      </w:r>
      <w:r>
        <w:t>egister workbook contai</w:t>
      </w:r>
      <w:r w:rsidR="007D79FE">
        <w:t xml:space="preserve">ns a tab “Risk Register” </w:t>
      </w:r>
      <w:r w:rsidR="00184444">
        <w:t>that contains</w:t>
      </w:r>
      <w:r>
        <w:t xml:space="preserve"> the list of </w:t>
      </w:r>
      <w:r w:rsidR="004E4E9B">
        <w:t xml:space="preserve">identified </w:t>
      </w:r>
      <w:r>
        <w:t>risks</w:t>
      </w:r>
      <w:r w:rsidR="004E4E9B">
        <w:t>, along with</w:t>
      </w:r>
      <w:r w:rsidR="007D79FE">
        <w:t xml:space="preserve"> </w:t>
      </w:r>
      <w:r>
        <w:t>the</w:t>
      </w:r>
      <w:r w:rsidR="00184444">
        <w:t xml:space="preserve"> following </w:t>
      </w:r>
      <w:r>
        <w:t>attributes</w:t>
      </w:r>
      <w:r w:rsidR="00184444">
        <w:t xml:space="preserve">: </w:t>
      </w:r>
    </w:p>
    <w:p w14:paraId="1CB92D3E" w14:textId="77777777" w:rsidR="00EB4627" w:rsidRDefault="00EB4627" w:rsidP="00795088">
      <w:pPr>
        <w:jc w:val="both"/>
      </w:pPr>
    </w:p>
    <w:p w14:paraId="070962C4" w14:textId="77777777" w:rsidR="006A2115" w:rsidRPr="00DA6744" w:rsidRDefault="006A2115" w:rsidP="006A2115">
      <w:pPr>
        <w:numPr>
          <w:ilvl w:val="0"/>
          <w:numId w:val="39"/>
        </w:numPr>
        <w:jc w:val="both"/>
        <w:rPr>
          <w:u w:val="single"/>
        </w:rPr>
      </w:pPr>
      <w:r w:rsidRPr="00DA6744">
        <w:rPr>
          <w:u w:val="single"/>
        </w:rPr>
        <w:t>Risk ID</w:t>
      </w:r>
      <w:r w:rsidR="00DA6744" w:rsidRPr="00DA6744">
        <w:t xml:space="preserve"> – unique </w:t>
      </w:r>
      <w:r w:rsidR="00DA6744">
        <w:t xml:space="preserve">identifier </w:t>
      </w:r>
      <w:r w:rsidR="00DA6744" w:rsidRPr="00DA6744">
        <w:t>across all risks</w:t>
      </w:r>
    </w:p>
    <w:p w14:paraId="0E1EB85F" w14:textId="77777777" w:rsidR="006A2115" w:rsidRPr="00DA6744" w:rsidRDefault="006A2115" w:rsidP="006A2115">
      <w:pPr>
        <w:numPr>
          <w:ilvl w:val="0"/>
          <w:numId w:val="39"/>
        </w:numPr>
        <w:jc w:val="both"/>
      </w:pPr>
      <w:r w:rsidRPr="00DA6744">
        <w:rPr>
          <w:u w:val="single"/>
        </w:rPr>
        <w:t>Risk Area</w:t>
      </w:r>
      <w:r w:rsidR="005C7A17" w:rsidRPr="00DA6744">
        <w:t xml:space="preserve"> – for risk categorization, one of:</w:t>
      </w:r>
    </w:p>
    <w:p w14:paraId="4B93CCB5" w14:textId="77777777" w:rsidR="006A2115" w:rsidRPr="00DA6744" w:rsidRDefault="006A2115" w:rsidP="006A2115">
      <w:pPr>
        <w:numPr>
          <w:ilvl w:val="1"/>
          <w:numId w:val="39"/>
        </w:numPr>
        <w:jc w:val="both"/>
      </w:pPr>
      <w:r w:rsidRPr="00DA6744">
        <w:t xml:space="preserve">Cost, Schedule, Technology; Security, Service </w:t>
      </w:r>
    </w:p>
    <w:p w14:paraId="00211E70" w14:textId="77777777" w:rsidR="00DA6744" w:rsidRDefault="006A2115" w:rsidP="006A2115">
      <w:pPr>
        <w:numPr>
          <w:ilvl w:val="0"/>
          <w:numId w:val="39"/>
        </w:numPr>
        <w:jc w:val="both"/>
      </w:pPr>
      <w:r w:rsidRPr="00DA6744">
        <w:rPr>
          <w:u w:val="single"/>
        </w:rPr>
        <w:t>Risk Title</w:t>
      </w:r>
      <w:r w:rsidR="00DA6744">
        <w:t xml:space="preserve"> – </w:t>
      </w:r>
      <w:r w:rsidRPr="00DA6744">
        <w:t>Short description of the risk</w:t>
      </w:r>
      <w:r w:rsidR="007D79FE">
        <w:t xml:space="preserve"> for reporting</w:t>
      </w:r>
    </w:p>
    <w:p w14:paraId="11996AA2" w14:textId="77777777" w:rsidR="006A2115" w:rsidRPr="00DA6744" w:rsidRDefault="00DA6744" w:rsidP="00DA6744">
      <w:pPr>
        <w:numPr>
          <w:ilvl w:val="1"/>
          <w:numId w:val="39"/>
        </w:numPr>
        <w:jc w:val="both"/>
      </w:pPr>
      <w:r w:rsidRPr="00DA6744">
        <w:t xml:space="preserve">No more than 3 lines at current </w:t>
      </w:r>
      <w:r>
        <w:t xml:space="preserve">field </w:t>
      </w:r>
      <w:r w:rsidRPr="00DA6744">
        <w:t>width.</w:t>
      </w:r>
    </w:p>
    <w:p w14:paraId="459C8851" w14:textId="77777777" w:rsidR="006A2115" w:rsidRPr="00DA6744" w:rsidRDefault="006A2115" w:rsidP="006A2115">
      <w:pPr>
        <w:numPr>
          <w:ilvl w:val="0"/>
          <w:numId w:val="39"/>
        </w:numPr>
        <w:jc w:val="both"/>
      </w:pPr>
      <w:r w:rsidRPr="00DA6744">
        <w:rPr>
          <w:u w:val="single"/>
        </w:rPr>
        <w:t>Description</w:t>
      </w:r>
      <w:r w:rsidR="00DA6744">
        <w:t xml:space="preserve"> – </w:t>
      </w:r>
      <w:r w:rsidRPr="00DA6744">
        <w:t>Long description of the risk</w:t>
      </w:r>
      <w:r w:rsidR="007D79FE">
        <w:t xml:space="preserve"> (narrative)</w:t>
      </w:r>
    </w:p>
    <w:p w14:paraId="21266DDD" w14:textId="77777777" w:rsidR="006A2115" w:rsidRPr="00DA6744" w:rsidRDefault="006A2115" w:rsidP="006A2115">
      <w:pPr>
        <w:numPr>
          <w:ilvl w:val="0"/>
          <w:numId w:val="39"/>
        </w:numPr>
        <w:jc w:val="both"/>
      </w:pPr>
      <w:r w:rsidRPr="00DA6744">
        <w:rPr>
          <w:u w:val="single"/>
        </w:rPr>
        <w:t>Probability of Occurrence</w:t>
      </w:r>
      <w:r w:rsidR="00DA6744" w:rsidRPr="00DA6744">
        <w:t xml:space="preserve"> – one of:</w:t>
      </w:r>
    </w:p>
    <w:p w14:paraId="5A518C8D" w14:textId="77777777" w:rsidR="00DA6744" w:rsidRPr="00DA6744" w:rsidRDefault="00DA6744" w:rsidP="00DA6744">
      <w:pPr>
        <w:numPr>
          <w:ilvl w:val="1"/>
          <w:numId w:val="39"/>
        </w:numPr>
        <w:jc w:val="both"/>
      </w:pPr>
      <w:r w:rsidRPr="00DA6744">
        <w:t>High, Medium, Low</w:t>
      </w:r>
    </w:p>
    <w:p w14:paraId="0589F231" w14:textId="77777777" w:rsidR="006A2115" w:rsidRPr="00DA6744" w:rsidRDefault="006A2115" w:rsidP="006A2115">
      <w:pPr>
        <w:numPr>
          <w:ilvl w:val="0"/>
          <w:numId w:val="39"/>
        </w:numPr>
        <w:jc w:val="both"/>
      </w:pPr>
      <w:r w:rsidRPr="00DA6744">
        <w:rPr>
          <w:u w:val="single"/>
        </w:rPr>
        <w:t>Impact of Occurrence</w:t>
      </w:r>
      <w:r w:rsidR="00DA6744" w:rsidRPr="00DA6744">
        <w:t xml:space="preserve"> – one of:</w:t>
      </w:r>
    </w:p>
    <w:p w14:paraId="181CE3AC" w14:textId="77777777" w:rsidR="00DA6744" w:rsidRPr="00DA6744" w:rsidRDefault="00DA6744" w:rsidP="00DA6744">
      <w:pPr>
        <w:numPr>
          <w:ilvl w:val="1"/>
          <w:numId w:val="39"/>
        </w:numPr>
        <w:jc w:val="both"/>
      </w:pPr>
      <w:r w:rsidRPr="00DA6744">
        <w:t>Severe, Moderate, Low</w:t>
      </w:r>
    </w:p>
    <w:p w14:paraId="2756F4DC" w14:textId="77777777" w:rsidR="00DA6744" w:rsidRPr="00DA6744" w:rsidRDefault="006A2115" w:rsidP="006A2115">
      <w:pPr>
        <w:numPr>
          <w:ilvl w:val="0"/>
          <w:numId w:val="39"/>
        </w:numPr>
        <w:jc w:val="both"/>
      </w:pPr>
      <w:r w:rsidRPr="00DA6744">
        <w:rPr>
          <w:u w:val="single"/>
        </w:rPr>
        <w:t>Risk R</w:t>
      </w:r>
      <w:r w:rsidR="00DA6744" w:rsidRPr="00DA6744">
        <w:rPr>
          <w:u w:val="single"/>
        </w:rPr>
        <w:t>ating</w:t>
      </w:r>
      <w:r w:rsidR="00DA6744" w:rsidRPr="00DA6744">
        <w:t xml:space="preserve"> – numerical value based on Risk Rating Table</w:t>
      </w:r>
    </w:p>
    <w:p w14:paraId="4DFC5850" w14:textId="77777777" w:rsidR="006A2115" w:rsidRPr="00DA6744" w:rsidRDefault="00DA6744" w:rsidP="00DA6744">
      <w:pPr>
        <w:numPr>
          <w:ilvl w:val="1"/>
          <w:numId w:val="39"/>
        </w:numPr>
        <w:jc w:val="both"/>
      </w:pPr>
      <w:r w:rsidRPr="00DA6744">
        <w:t>Rating Value = Probability Value * Impact Value</w:t>
      </w:r>
    </w:p>
    <w:p w14:paraId="64D4DE56" w14:textId="77777777" w:rsidR="006A2115" w:rsidRPr="00DA6744" w:rsidRDefault="006A2115" w:rsidP="006A2115">
      <w:pPr>
        <w:numPr>
          <w:ilvl w:val="0"/>
          <w:numId w:val="39"/>
        </w:numPr>
        <w:jc w:val="both"/>
      </w:pPr>
      <w:r w:rsidRPr="00DA6744">
        <w:rPr>
          <w:u w:val="single"/>
        </w:rPr>
        <w:t>Risk Priority</w:t>
      </w:r>
      <w:r w:rsidR="00200B03" w:rsidRPr="00DA6744">
        <w:t xml:space="preserve"> – one of: (based on Risk Rating</w:t>
      </w:r>
      <w:r w:rsidR="007D79FE">
        <w:t xml:space="preserve"> value</w:t>
      </w:r>
      <w:r w:rsidR="00200B03" w:rsidRPr="00DA6744">
        <w:t>)</w:t>
      </w:r>
    </w:p>
    <w:p w14:paraId="55626AF3" w14:textId="77777777" w:rsidR="00200B03" w:rsidRPr="00DA6744" w:rsidRDefault="00200B03" w:rsidP="00200B03">
      <w:pPr>
        <w:numPr>
          <w:ilvl w:val="1"/>
          <w:numId w:val="39"/>
        </w:numPr>
        <w:jc w:val="both"/>
      </w:pPr>
      <w:r w:rsidRPr="00DA6744">
        <w:t>High, Medium, Low</w:t>
      </w:r>
    </w:p>
    <w:p w14:paraId="3BADC0B9" w14:textId="77777777" w:rsidR="006A2115" w:rsidRPr="00DA6744" w:rsidRDefault="006A2115" w:rsidP="006A2115">
      <w:pPr>
        <w:numPr>
          <w:ilvl w:val="0"/>
          <w:numId w:val="39"/>
        </w:numPr>
        <w:jc w:val="both"/>
      </w:pPr>
      <w:r w:rsidRPr="00DA6744">
        <w:rPr>
          <w:u w:val="single"/>
        </w:rPr>
        <w:t>Risk Status</w:t>
      </w:r>
      <w:r w:rsidR="005C7A17" w:rsidRPr="00DA6744">
        <w:t xml:space="preserve"> – one of:</w:t>
      </w:r>
    </w:p>
    <w:p w14:paraId="13C747E2" w14:textId="77777777" w:rsidR="005843E8" w:rsidRDefault="005843E8" w:rsidP="005C7A17">
      <w:pPr>
        <w:numPr>
          <w:ilvl w:val="1"/>
          <w:numId w:val="39"/>
        </w:numPr>
        <w:jc w:val="both"/>
      </w:pPr>
      <w:r>
        <w:t>Active – risk condition has occurred</w:t>
      </w:r>
      <w:r w:rsidR="00B2065C">
        <w:t>, so</w:t>
      </w:r>
      <w:r w:rsidR="00CC54F7">
        <w:t xml:space="preserve"> the risk has become a real </w:t>
      </w:r>
      <w:r>
        <w:t>issue.</w:t>
      </w:r>
    </w:p>
    <w:p w14:paraId="5F1D784D" w14:textId="77777777" w:rsidR="005843E8" w:rsidRDefault="00200B03" w:rsidP="005C7A17">
      <w:pPr>
        <w:numPr>
          <w:ilvl w:val="1"/>
          <w:numId w:val="39"/>
        </w:numPr>
        <w:jc w:val="both"/>
      </w:pPr>
      <w:r w:rsidRPr="00DA6744">
        <w:t>Exists</w:t>
      </w:r>
      <w:r w:rsidR="005843E8">
        <w:t xml:space="preserve"> – risk condition has not occurred</w:t>
      </w:r>
    </w:p>
    <w:p w14:paraId="089CFB97" w14:textId="77777777" w:rsidR="005C7A17" w:rsidRPr="00DA6744" w:rsidRDefault="005C7A17" w:rsidP="005C7A17">
      <w:pPr>
        <w:numPr>
          <w:ilvl w:val="1"/>
          <w:numId w:val="39"/>
        </w:numPr>
        <w:jc w:val="both"/>
      </w:pPr>
      <w:r w:rsidRPr="00DA6744">
        <w:t>Retired</w:t>
      </w:r>
      <w:r w:rsidR="005843E8">
        <w:t xml:space="preserve"> – risk condition is no longer considered worthwhile tracking</w:t>
      </w:r>
    </w:p>
    <w:p w14:paraId="096C8CA0" w14:textId="77777777" w:rsidR="006A2115" w:rsidRPr="00DA6744" w:rsidRDefault="00DA6744" w:rsidP="006A2115">
      <w:pPr>
        <w:numPr>
          <w:ilvl w:val="0"/>
          <w:numId w:val="39"/>
        </w:numPr>
        <w:jc w:val="both"/>
      </w:pPr>
      <w:r w:rsidRPr="00DA6744">
        <w:rPr>
          <w:u w:val="single"/>
        </w:rPr>
        <w:t>Creation Date</w:t>
      </w:r>
      <w:r w:rsidRPr="00DA6744">
        <w:rPr>
          <w:u w:val="single"/>
        </w:rPr>
        <w:tab/>
      </w:r>
      <w:r w:rsidR="005C7A17" w:rsidRPr="00DA6744">
        <w:tab/>
      </w:r>
      <w:r w:rsidR="006A2115" w:rsidRPr="00DA6744">
        <w:t>(date)</w:t>
      </w:r>
    </w:p>
    <w:p w14:paraId="245B9584" w14:textId="77777777" w:rsidR="006A2115" w:rsidRPr="00DA6744" w:rsidRDefault="006A2115" w:rsidP="006A2115">
      <w:pPr>
        <w:numPr>
          <w:ilvl w:val="0"/>
          <w:numId w:val="39"/>
        </w:numPr>
        <w:jc w:val="both"/>
      </w:pPr>
      <w:r w:rsidRPr="00DA6744">
        <w:rPr>
          <w:u w:val="single"/>
        </w:rPr>
        <w:t>Last Review</w:t>
      </w:r>
      <w:r w:rsidR="00DA6744" w:rsidRPr="00DA6744">
        <w:rPr>
          <w:u w:val="single"/>
        </w:rPr>
        <w:t xml:space="preserve"> Date</w:t>
      </w:r>
      <w:r w:rsidR="005C7A17" w:rsidRPr="00DA6744">
        <w:tab/>
      </w:r>
      <w:r w:rsidRPr="00DA6744">
        <w:t>(date)</w:t>
      </w:r>
    </w:p>
    <w:p w14:paraId="6883B60D" w14:textId="77777777" w:rsidR="00BF4AB8" w:rsidRDefault="00BF4AB8" w:rsidP="00BF4AB8">
      <w:pPr>
        <w:numPr>
          <w:ilvl w:val="0"/>
          <w:numId w:val="39"/>
        </w:numPr>
        <w:jc w:val="both"/>
      </w:pPr>
      <w:r>
        <w:rPr>
          <w:u w:val="single"/>
        </w:rPr>
        <w:t>Next Review Date</w:t>
      </w:r>
      <w:r w:rsidRPr="00046D52">
        <w:tab/>
        <w:t>(date)</w:t>
      </w:r>
      <w:r>
        <w:t xml:space="preserve"> – driven by review frequency or earlier date chosen by IPT</w:t>
      </w:r>
    </w:p>
    <w:p w14:paraId="1FEC0D68" w14:textId="77777777" w:rsidR="006A2115" w:rsidRPr="00DA6744" w:rsidRDefault="00DA6744" w:rsidP="006A2115">
      <w:pPr>
        <w:numPr>
          <w:ilvl w:val="0"/>
          <w:numId w:val="39"/>
        </w:numPr>
        <w:jc w:val="both"/>
      </w:pPr>
      <w:r w:rsidRPr="00DA6744">
        <w:rPr>
          <w:u w:val="single"/>
        </w:rPr>
        <w:t>Last Change</w:t>
      </w:r>
      <w:r w:rsidR="005C7A17" w:rsidRPr="00DA6744">
        <w:tab/>
      </w:r>
      <w:r w:rsidRPr="00DA6744">
        <w:tab/>
      </w:r>
      <w:r w:rsidR="006A2115" w:rsidRPr="00DA6744">
        <w:t>(</w:t>
      </w:r>
      <w:r w:rsidRPr="00DA6744">
        <w:t xml:space="preserve">narrative, should include </w:t>
      </w:r>
      <w:r w:rsidR="006A2115" w:rsidRPr="00DA6744">
        <w:t>date)</w:t>
      </w:r>
    </w:p>
    <w:p w14:paraId="3DCB0BD9" w14:textId="77777777" w:rsidR="005C7A17" w:rsidRPr="00DA6744" w:rsidRDefault="005C7A17" w:rsidP="006A2115">
      <w:pPr>
        <w:numPr>
          <w:ilvl w:val="0"/>
          <w:numId w:val="39"/>
        </w:numPr>
        <w:jc w:val="both"/>
      </w:pPr>
      <w:r w:rsidRPr="00DA6744">
        <w:rPr>
          <w:u w:val="single"/>
        </w:rPr>
        <w:t>Mitigation Strategy</w:t>
      </w:r>
      <w:r w:rsidRPr="00DA6744">
        <w:tab/>
        <w:t>(narrative)</w:t>
      </w:r>
    </w:p>
    <w:p w14:paraId="31925F19" w14:textId="77777777" w:rsidR="005C7A17" w:rsidRPr="00DA6744" w:rsidRDefault="005C7A17" w:rsidP="006A2115">
      <w:pPr>
        <w:numPr>
          <w:ilvl w:val="0"/>
          <w:numId w:val="39"/>
        </w:numPr>
        <w:jc w:val="both"/>
      </w:pPr>
      <w:r w:rsidRPr="00DA6744">
        <w:rPr>
          <w:u w:val="single"/>
        </w:rPr>
        <w:t xml:space="preserve">Notes </w:t>
      </w:r>
      <w:r w:rsidRPr="00DA6744">
        <w:tab/>
      </w:r>
      <w:r w:rsidRPr="00DA6744">
        <w:tab/>
      </w:r>
      <w:r w:rsidRPr="00DA6744">
        <w:tab/>
        <w:t>(narrative)</w:t>
      </w:r>
    </w:p>
    <w:p w14:paraId="5756FEB3" w14:textId="77777777" w:rsidR="006A2115" w:rsidRDefault="006A2115" w:rsidP="00795088">
      <w:pPr>
        <w:jc w:val="both"/>
      </w:pPr>
    </w:p>
    <w:p w14:paraId="3F75F0D8" w14:textId="77777777" w:rsidR="00EB4627" w:rsidRDefault="00EB4627" w:rsidP="00795088">
      <w:pPr>
        <w:jc w:val="both"/>
      </w:pPr>
      <w:r>
        <w:t>Detailed inform</w:t>
      </w:r>
      <w:r w:rsidRPr="006A2115">
        <w:t xml:space="preserve">ation regarding each identified risk is recorded in the </w:t>
      </w:r>
      <w:r w:rsidR="00A63C45" w:rsidRPr="006A2115">
        <w:t xml:space="preserve">narrative </w:t>
      </w:r>
      <w:r w:rsidR="00072F3D" w:rsidRPr="006A2115">
        <w:t>fields in</w:t>
      </w:r>
      <w:r w:rsidR="00A63C45" w:rsidRPr="006A2115">
        <w:t xml:space="preserve"> the </w:t>
      </w:r>
      <w:r w:rsidR="00317B4F" w:rsidRPr="006A2115">
        <w:t>Risk Register.</w:t>
      </w:r>
    </w:p>
    <w:p w14:paraId="2AA563D0" w14:textId="77777777" w:rsidR="00317B4F" w:rsidRDefault="00317B4F" w:rsidP="00795088">
      <w:pPr>
        <w:jc w:val="both"/>
      </w:pPr>
    </w:p>
    <w:p w14:paraId="25F2F822" w14:textId="77777777" w:rsidR="00EB4627" w:rsidRDefault="00EB4627" w:rsidP="00795088">
      <w:pPr>
        <w:pStyle w:val="Heading1"/>
        <w:jc w:val="both"/>
      </w:pPr>
      <w:bookmarkStart w:id="214" w:name="_Toc223248602"/>
      <w:bookmarkStart w:id="215" w:name="_Toc10621197"/>
      <w:r>
        <w:t>Risk Analysis</w:t>
      </w:r>
      <w:bookmarkEnd w:id="214"/>
      <w:bookmarkEnd w:id="215"/>
    </w:p>
    <w:p w14:paraId="7525F475" w14:textId="186E099F" w:rsidR="00EB4627" w:rsidRDefault="00EB4627" w:rsidP="00795088">
      <w:pPr>
        <w:jc w:val="both"/>
      </w:pPr>
      <w:r>
        <w:t xml:space="preserve">Each identified risk is analyzed for the probability and impact of occurrence. Individual ratings for probability and impact are assigned </w:t>
      </w:r>
      <w:r w:rsidR="0042149C">
        <w:t xml:space="preserve">based on the values </w:t>
      </w:r>
      <w:r w:rsidRPr="0042149C">
        <w:t xml:space="preserve">shown in Table 1. </w:t>
      </w:r>
      <w:r w:rsidR="00DB7A59">
        <w:t xml:space="preserve">A </w:t>
      </w:r>
      <w:r w:rsidRPr="0042149C">
        <w:t xml:space="preserve">risk rating is </w:t>
      </w:r>
      <w:r w:rsidR="0042149C">
        <w:t xml:space="preserve">then </w:t>
      </w:r>
      <w:r w:rsidRPr="0042149C">
        <w:t>derived by multiplying probab</w:t>
      </w:r>
      <w:r w:rsidR="0042149C">
        <w:t>ility and impact values</w:t>
      </w:r>
      <w:r w:rsidR="007537C6">
        <w:t xml:space="preserve">; risk ratings are </w:t>
      </w:r>
      <w:r w:rsidR="0042149C">
        <w:t xml:space="preserve">shown in Table 2. </w:t>
      </w:r>
      <w:r w:rsidR="001F336A">
        <w:t xml:space="preserve"> </w:t>
      </w:r>
      <w:r w:rsidR="0042149C">
        <w:t>Finally,</w:t>
      </w:r>
      <w:r w:rsidR="007537C6">
        <w:t xml:space="preserve"> each</w:t>
      </w:r>
      <w:r w:rsidR="001F336A">
        <w:t xml:space="preserve"> </w:t>
      </w:r>
      <w:r w:rsidR="0042149C">
        <w:t>risk is assigned a priority</w:t>
      </w:r>
      <w:r w:rsidR="000A0282">
        <w:t xml:space="preserve"> based on the risk rating value</w:t>
      </w:r>
      <w:r w:rsidR="001F336A">
        <w:t>.  Risk priority is used to</w:t>
      </w:r>
      <w:r w:rsidR="000A0282">
        <w:t xml:space="preserve"> drive the level of planning and frequency of monitoring </w:t>
      </w:r>
      <w:r w:rsidR="001F336A">
        <w:t xml:space="preserve">required </w:t>
      </w:r>
      <w:r w:rsidR="000A0282">
        <w:t>for the risk.</w:t>
      </w:r>
    </w:p>
    <w:p w14:paraId="4C2030FA" w14:textId="77777777" w:rsidR="0042149C" w:rsidRDefault="0042149C" w:rsidP="00EB4627"/>
    <w:p w14:paraId="0A03C60F" w14:textId="41668DF6" w:rsidR="00EB4627" w:rsidRDefault="00EB4627" w:rsidP="00B55189">
      <w:pPr>
        <w:spacing w:after="120"/>
        <w:jc w:val="center"/>
      </w:pPr>
      <w:r w:rsidRPr="00645908">
        <w:t xml:space="preserve">Table </w:t>
      </w:r>
      <w:fldSimple w:instr=" SEQ Table \* ARABIC ">
        <w:r w:rsidR="00DD7172">
          <w:rPr>
            <w:noProof/>
          </w:rPr>
          <w:t>1</w:t>
        </w:r>
      </w:fldSimple>
      <w:r w:rsidRPr="00645908">
        <w:t xml:space="preserve">: </w:t>
      </w:r>
      <w:r w:rsidR="005C7A17">
        <w:t>Risk Probability and Impact Values</w:t>
      </w:r>
    </w:p>
    <w:tbl>
      <w:tblPr>
        <w:tblW w:w="37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87"/>
        <w:gridCol w:w="702"/>
        <w:gridCol w:w="113"/>
        <w:gridCol w:w="1048"/>
        <w:gridCol w:w="694"/>
      </w:tblGrid>
      <w:tr w:rsidR="00EE12FC" w:rsidRPr="00645908" w14:paraId="56A18479" w14:textId="77777777" w:rsidTr="00A332F3">
        <w:trPr>
          <w:trHeight w:val="255"/>
          <w:jc w:val="center"/>
        </w:trPr>
        <w:tc>
          <w:tcPr>
            <w:tcW w:w="1187" w:type="dxa"/>
            <w:shd w:val="clear" w:color="auto" w:fill="D9D9D9" w:themeFill="background1" w:themeFillShade="D9"/>
            <w:noWrap/>
            <w:vAlign w:val="bottom"/>
          </w:tcPr>
          <w:p w14:paraId="06E85EB2" w14:textId="77777777" w:rsidR="00EE12FC" w:rsidRPr="00645908" w:rsidRDefault="00EE12FC" w:rsidP="00A332F3">
            <w:pPr>
              <w:jc w:val="center"/>
            </w:pPr>
            <w:r w:rsidRPr="00645908">
              <w:t>Probability</w:t>
            </w:r>
          </w:p>
        </w:tc>
        <w:tc>
          <w:tcPr>
            <w:tcW w:w="694" w:type="dxa"/>
            <w:tcBorders>
              <w:top w:val="single" w:sz="12" w:space="0" w:color="auto"/>
              <w:bottom w:val="single" w:sz="6" w:space="0" w:color="auto"/>
              <w:right w:val="nil"/>
            </w:tcBorders>
            <w:shd w:val="clear" w:color="auto" w:fill="D9D9D9" w:themeFill="background1" w:themeFillShade="D9"/>
            <w:noWrap/>
            <w:vAlign w:val="bottom"/>
          </w:tcPr>
          <w:p w14:paraId="1B859581" w14:textId="77777777" w:rsidR="00EE12FC" w:rsidRPr="00645908" w:rsidRDefault="00EE12FC" w:rsidP="00A332F3">
            <w:pPr>
              <w:jc w:val="center"/>
            </w:pPr>
            <w:r w:rsidRPr="00645908">
              <w:t>Value</w:t>
            </w:r>
          </w:p>
        </w:tc>
        <w:tc>
          <w:tcPr>
            <w:tcW w:w="129" w:type="dxa"/>
            <w:tcBorders>
              <w:top w:val="single" w:sz="12" w:space="0" w:color="auto"/>
              <w:left w:val="nil"/>
              <w:bottom w:val="single" w:sz="6" w:space="0" w:color="auto"/>
              <w:right w:val="nil"/>
            </w:tcBorders>
            <w:shd w:val="clear" w:color="auto" w:fill="000000" w:themeFill="text1"/>
          </w:tcPr>
          <w:p w14:paraId="6EC52A3C" w14:textId="77777777" w:rsidR="00EE12FC" w:rsidRPr="00645908" w:rsidRDefault="00EE12FC" w:rsidP="00A332F3">
            <w:pPr>
              <w:jc w:val="center"/>
            </w:pPr>
          </w:p>
        </w:tc>
        <w:tc>
          <w:tcPr>
            <w:tcW w:w="1040" w:type="dxa"/>
            <w:tcBorders>
              <w:top w:val="single" w:sz="12" w:space="0" w:color="auto"/>
              <w:left w:val="nil"/>
              <w:bottom w:val="single" w:sz="6" w:space="0" w:color="auto"/>
            </w:tcBorders>
            <w:shd w:val="clear" w:color="auto" w:fill="D9D9D9" w:themeFill="background1" w:themeFillShade="D9"/>
            <w:noWrap/>
            <w:vAlign w:val="bottom"/>
          </w:tcPr>
          <w:p w14:paraId="1CF23EBA" w14:textId="77777777" w:rsidR="00EE12FC" w:rsidRPr="00645908" w:rsidRDefault="00EE12FC" w:rsidP="00A332F3">
            <w:pPr>
              <w:jc w:val="center"/>
            </w:pPr>
            <w:r w:rsidRPr="00645908">
              <w:t>Impact</w:t>
            </w:r>
          </w:p>
        </w:tc>
        <w:tc>
          <w:tcPr>
            <w:tcW w:w="694" w:type="dxa"/>
            <w:shd w:val="clear" w:color="auto" w:fill="D9D9D9" w:themeFill="background1" w:themeFillShade="D9"/>
            <w:noWrap/>
            <w:vAlign w:val="bottom"/>
          </w:tcPr>
          <w:p w14:paraId="145D3406" w14:textId="77777777" w:rsidR="00EE12FC" w:rsidRPr="00645908" w:rsidRDefault="00EE12FC" w:rsidP="00A332F3">
            <w:pPr>
              <w:jc w:val="center"/>
            </w:pPr>
            <w:r w:rsidRPr="00645908">
              <w:t>Value</w:t>
            </w:r>
          </w:p>
        </w:tc>
      </w:tr>
      <w:tr w:rsidR="00EE12FC" w:rsidRPr="00645908" w14:paraId="40591BC8" w14:textId="77777777" w:rsidTr="00A332F3">
        <w:trPr>
          <w:trHeight w:val="255"/>
          <w:jc w:val="center"/>
        </w:trPr>
        <w:tc>
          <w:tcPr>
            <w:tcW w:w="1187" w:type="dxa"/>
            <w:shd w:val="clear" w:color="auto" w:fill="auto"/>
            <w:noWrap/>
          </w:tcPr>
          <w:p w14:paraId="0D63FBF0" w14:textId="77777777" w:rsidR="00EE12FC" w:rsidRPr="00645908" w:rsidRDefault="00EE12FC" w:rsidP="00A332F3">
            <w:pPr>
              <w:jc w:val="center"/>
            </w:pPr>
            <w:r w:rsidRPr="00645908">
              <w:t>High</w:t>
            </w:r>
          </w:p>
        </w:tc>
        <w:tc>
          <w:tcPr>
            <w:tcW w:w="694" w:type="dxa"/>
            <w:tcBorders>
              <w:top w:val="single" w:sz="6" w:space="0" w:color="auto"/>
              <w:bottom w:val="single" w:sz="6" w:space="0" w:color="auto"/>
              <w:right w:val="nil"/>
            </w:tcBorders>
            <w:shd w:val="clear" w:color="auto" w:fill="auto"/>
            <w:noWrap/>
          </w:tcPr>
          <w:p w14:paraId="4FC4E1D4" w14:textId="77777777" w:rsidR="00EE12FC" w:rsidRPr="00645908" w:rsidRDefault="00EE12FC" w:rsidP="00A332F3">
            <w:pPr>
              <w:jc w:val="center"/>
            </w:pPr>
            <w:r w:rsidRPr="00645908">
              <w:t>0.75</w:t>
            </w:r>
          </w:p>
        </w:tc>
        <w:tc>
          <w:tcPr>
            <w:tcW w:w="129" w:type="dxa"/>
            <w:tcBorders>
              <w:top w:val="single" w:sz="6" w:space="0" w:color="auto"/>
              <w:left w:val="nil"/>
              <w:bottom w:val="single" w:sz="6" w:space="0" w:color="auto"/>
              <w:right w:val="nil"/>
            </w:tcBorders>
            <w:shd w:val="clear" w:color="auto" w:fill="000000" w:themeFill="text1"/>
          </w:tcPr>
          <w:p w14:paraId="4F187255" w14:textId="77777777" w:rsidR="00EE12FC" w:rsidRPr="00645908" w:rsidRDefault="00EE12FC" w:rsidP="00A332F3">
            <w:pPr>
              <w:jc w:val="center"/>
            </w:pPr>
          </w:p>
        </w:tc>
        <w:tc>
          <w:tcPr>
            <w:tcW w:w="1040" w:type="dxa"/>
            <w:tcBorders>
              <w:top w:val="single" w:sz="6" w:space="0" w:color="auto"/>
              <w:left w:val="nil"/>
              <w:bottom w:val="single" w:sz="6" w:space="0" w:color="auto"/>
            </w:tcBorders>
            <w:shd w:val="clear" w:color="auto" w:fill="auto"/>
            <w:noWrap/>
          </w:tcPr>
          <w:p w14:paraId="77E70B6E" w14:textId="77777777" w:rsidR="00EE12FC" w:rsidRPr="00645908" w:rsidRDefault="00EE12FC" w:rsidP="00A332F3">
            <w:pPr>
              <w:jc w:val="center"/>
            </w:pPr>
            <w:r w:rsidRPr="00645908">
              <w:t>Severe</w:t>
            </w:r>
          </w:p>
        </w:tc>
        <w:tc>
          <w:tcPr>
            <w:tcW w:w="694" w:type="dxa"/>
            <w:shd w:val="clear" w:color="auto" w:fill="auto"/>
            <w:noWrap/>
          </w:tcPr>
          <w:p w14:paraId="75AE7205" w14:textId="77777777" w:rsidR="00EE12FC" w:rsidRPr="00645908" w:rsidRDefault="00EE12FC" w:rsidP="00A332F3">
            <w:pPr>
              <w:jc w:val="center"/>
            </w:pPr>
            <w:r w:rsidRPr="00645908">
              <w:t>0.9</w:t>
            </w:r>
          </w:p>
        </w:tc>
      </w:tr>
      <w:tr w:rsidR="00EE12FC" w:rsidRPr="00645908" w14:paraId="2644D84C" w14:textId="77777777" w:rsidTr="00A332F3">
        <w:trPr>
          <w:trHeight w:val="255"/>
          <w:jc w:val="center"/>
        </w:trPr>
        <w:tc>
          <w:tcPr>
            <w:tcW w:w="1187" w:type="dxa"/>
            <w:shd w:val="clear" w:color="auto" w:fill="auto"/>
            <w:noWrap/>
          </w:tcPr>
          <w:p w14:paraId="358BAC23" w14:textId="77777777" w:rsidR="00EE12FC" w:rsidRPr="00645908" w:rsidRDefault="00EE12FC" w:rsidP="00A332F3">
            <w:pPr>
              <w:jc w:val="center"/>
            </w:pPr>
            <w:r w:rsidRPr="00645908">
              <w:t>Medium</w:t>
            </w:r>
          </w:p>
        </w:tc>
        <w:tc>
          <w:tcPr>
            <w:tcW w:w="694" w:type="dxa"/>
            <w:tcBorders>
              <w:top w:val="single" w:sz="6" w:space="0" w:color="auto"/>
              <w:bottom w:val="single" w:sz="6" w:space="0" w:color="auto"/>
              <w:right w:val="nil"/>
            </w:tcBorders>
            <w:shd w:val="clear" w:color="auto" w:fill="auto"/>
            <w:noWrap/>
          </w:tcPr>
          <w:p w14:paraId="4A578472" w14:textId="77777777" w:rsidR="00EE12FC" w:rsidRPr="00645908" w:rsidRDefault="00EE12FC" w:rsidP="00A332F3">
            <w:pPr>
              <w:jc w:val="center"/>
            </w:pPr>
            <w:r w:rsidRPr="00645908">
              <w:t>0.5</w:t>
            </w:r>
            <w:r>
              <w:t>0</w:t>
            </w:r>
          </w:p>
        </w:tc>
        <w:tc>
          <w:tcPr>
            <w:tcW w:w="129" w:type="dxa"/>
            <w:tcBorders>
              <w:top w:val="single" w:sz="6" w:space="0" w:color="auto"/>
              <w:left w:val="nil"/>
              <w:bottom w:val="single" w:sz="6" w:space="0" w:color="auto"/>
              <w:right w:val="nil"/>
            </w:tcBorders>
            <w:shd w:val="clear" w:color="auto" w:fill="000000" w:themeFill="text1"/>
          </w:tcPr>
          <w:p w14:paraId="1A80D911" w14:textId="77777777" w:rsidR="00EE12FC" w:rsidRPr="00645908" w:rsidRDefault="00EE12FC" w:rsidP="00A332F3">
            <w:pPr>
              <w:jc w:val="center"/>
            </w:pPr>
          </w:p>
        </w:tc>
        <w:tc>
          <w:tcPr>
            <w:tcW w:w="1040" w:type="dxa"/>
            <w:tcBorders>
              <w:top w:val="single" w:sz="6" w:space="0" w:color="auto"/>
              <w:left w:val="nil"/>
              <w:bottom w:val="single" w:sz="6" w:space="0" w:color="auto"/>
            </w:tcBorders>
            <w:shd w:val="clear" w:color="auto" w:fill="auto"/>
            <w:noWrap/>
          </w:tcPr>
          <w:p w14:paraId="5C1417DF" w14:textId="77777777" w:rsidR="00EE12FC" w:rsidRPr="00645908" w:rsidRDefault="00EE12FC" w:rsidP="00A332F3">
            <w:pPr>
              <w:jc w:val="center"/>
            </w:pPr>
            <w:r w:rsidRPr="00645908">
              <w:t>Moderate</w:t>
            </w:r>
          </w:p>
        </w:tc>
        <w:tc>
          <w:tcPr>
            <w:tcW w:w="694" w:type="dxa"/>
            <w:shd w:val="clear" w:color="auto" w:fill="auto"/>
            <w:noWrap/>
          </w:tcPr>
          <w:p w14:paraId="09E4B6C8" w14:textId="77777777" w:rsidR="00EE12FC" w:rsidRPr="00645908" w:rsidRDefault="00EE12FC" w:rsidP="00A332F3">
            <w:pPr>
              <w:jc w:val="center"/>
            </w:pPr>
            <w:r w:rsidRPr="00645908">
              <w:t>0.5</w:t>
            </w:r>
          </w:p>
        </w:tc>
      </w:tr>
      <w:tr w:rsidR="00EE12FC" w:rsidRPr="00645908" w14:paraId="46C242D5" w14:textId="77777777" w:rsidTr="00A332F3">
        <w:trPr>
          <w:trHeight w:val="255"/>
          <w:jc w:val="center"/>
        </w:trPr>
        <w:tc>
          <w:tcPr>
            <w:tcW w:w="1187" w:type="dxa"/>
            <w:shd w:val="clear" w:color="auto" w:fill="auto"/>
            <w:noWrap/>
          </w:tcPr>
          <w:p w14:paraId="3A2A9395" w14:textId="77777777" w:rsidR="00EE12FC" w:rsidRPr="00645908" w:rsidRDefault="00EE12FC" w:rsidP="00A332F3">
            <w:pPr>
              <w:jc w:val="center"/>
            </w:pPr>
            <w:r w:rsidRPr="00645908">
              <w:t>Low</w:t>
            </w:r>
          </w:p>
        </w:tc>
        <w:tc>
          <w:tcPr>
            <w:tcW w:w="694" w:type="dxa"/>
            <w:tcBorders>
              <w:top w:val="single" w:sz="6" w:space="0" w:color="auto"/>
              <w:bottom w:val="single" w:sz="12" w:space="0" w:color="auto"/>
              <w:right w:val="nil"/>
            </w:tcBorders>
            <w:shd w:val="clear" w:color="auto" w:fill="auto"/>
            <w:noWrap/>
          </w:tcPr>
          <w:p w14:paraId="0E6C88E8" w14:textId="77777777" w:rsidR="00EE12FC" w:rsidRPr="00645908" w:rsidRDefault="00EE12FC" w:rsidP="00A332F3">
            <w:pPr>
              <w:jc w:val="center"/>
            </w:pPr>
            <w:r w:rsidRPr="00645908">
              <w:t>0.25</w:t>
            </w:r>
          </w:p>
        </w:tc>
        <w:tc>
          <w:tcPr>
            <w:tcW w:w="129" w:type="dxa"/>
            <w:tcBorders>
              <w:top w:val="single" w:sz="6" w:space="0" w:color="auto"/>
              <w:left w:val="nil"/>
              <w:bottom w:val="single" w:sz="12" w:space="0" w:color="auto"/>
              <w:right w:val="nil"/>
            </w:tcBorders>
            <w:shd w:val="clear" w:color="auto" w:fill="000000" w:themeFill="text1"/>
          </w:tcPr>
          <w:p w14:paraId="74CCF496" w14:textId="77777777" w:rsidR="00EE12FC" w:rsidRPr="00645908" w:rsidRDefault="00EE12FC" w:rsidP="00A332F3">
            <w:pPr>
              <w:jc w:val="center"/>
            </w:pPr>
          </w:p>
        </w:tc>
        <w:tc>
          <w:tcPr>
            <w:tcW w:w="1040" w:type="dxa"/>
            <w:tcBorders>
              <w:top w:val="single" w:sz="6" w:space="0" w:color="auto"/>
              <w:left w:val="nil"/>
              <w:bottom w:val="single" w:sz="12" w:space="0" w:color="auto"/>
            </w:tcBorders>
            <w:shd w:val="clear" w:color="auto" w:fill="auto"/>
            <w:noWrap/>
          </w:tcPr>
          <w:p w14:paraId="75D00331" w14:textId="77777777" w:rsidR="00EE12FC" w:rsidRPr="00645908" w:rsidRDefault="00EE12FC" w:rsidP="00A332F3">
            <w:pPr>
              <w:jc w:val="center"/>
            </w:pPr>
            <w:r w:rsidRPr="00645908">
              <w:t>Low</w:t>
            </w:r>
          </w:p>
        </w:tc>
        <w:tc>
          <w:tcPr>
            <w:tcW w:w="694" w:type="dxa"/>
            <w:shd w:val="clear" w:color="auto" w:fill="auto"/>
            <w:noWrap/>
          </w:tcPr>
          <w:p w14:paraId="481773CC" w14:textId="77777777" w:rsidR="00EE12FC" w:rsidRPr="00645908" w:rsidRDefault="00EE12FC" w:rsidP="00A332F3">
            <w:pPr>
              <w:jc w:val="center"/>
            </w:pPr>
            <w:r w:rsidRPr="00645908">
              <w:t>0.1</w:t>
            </w:r>
          </w:p>
        </w:tc>
      </w:tr>
    </w:tbl>
    <w:p w14:paraId="258ACA89" w14:textId="7F8F2944" w:rsidR="00EB4627" w:rsidRDefault="00EB4627" w:rsidP="004775EC">
      <w:pPr>
        <w:jc w:val="center"/>
      </w:pPr>
    </w:p>
    <w:p w14:paraId="322F18C1" w14:textId="5AC4019A" w:rsidR="001F336A" w:rsidRDefault="001F336A">
      <w:pPr>
        <w:jc w:val="center"/>
      </w:pPr>
    </w:p>
    <w:p w14:paraId="5888A57C" w14:textId="63949308" w:rsidR="00EB4627" w:rsidRPr="00645908" w:rsidRDefault="00EB4627" w:rsidP="00B55189">
      <w:pPr>
        <w:spacing w:after="120"/>
        <w:jc w:val="center"/>
      </w:pPr>
      <w:r w:rsidRPr="00645908">
        <w:lastRenderedPageBreak/>
        <w:t xml:space="preserve">Table </w:t>
      </w:r>
      <w:fldSimple w:instr=" SEQ Table \* ARABIC ">
        <w:r w:rsidR="00DD7172">
          <w:rPr>
            <w:noProof/>
          </w:rPr>
          <w:t>2</w:t>
        </w:r>
      </w:fldSimple>
      <w:r w:rsidR="005C7A17">
        <w:t xml:space="preserve">: Risk Rating </w:t>
      </w:r>
      <w:r w:rsidR="0042149C">
        <w:t>Matrix</w:t>
      </w:r>
      <w:r w:rsidR="005C7A17">
        <w:t xml:space="preserve"> (with Risk Priority color coding)</w:t>
      </w:r>
    </w:p>
    <w:tbl>
      <w:tblPr>
        <w:tblW w:w="5541" w:type="dxa"/>
        <w:jc w:val="center"/>
        <w:tblLook w:val="04A0" w:firstRow="1" w:lastRow="0" w:firstColumn="1" w:lastColumn="0" w:noHBand="0" w:noVBand="1"/>
      </w:tblPr>
      <w:tblGrid>
        <w:gridCol w:w="1253"/>
        <w:gridCol w:w="1217"/>
        <w:gridCol w:w="1020"/>
        <w:gridCol w:w="1061"/>
        <w:gridCol w:w="990"/>
      </w:tblGrid>
      <w:tr w:rsidR="00850555" w14:paraId="6705C7B3" w14:textId="77777777" w:rsidTr="00A332F3">
        <w:trPr>
          <w:trHeight w:val="255"/>
          <w:jc w:val="center"/>
        </w:trPr>
        <w:tc>
          <w:tcPr>
            <w:tcW w:w="1253" w:type="dxa"/>
            <w:shd w:val="clear" w:color="auto" w:fill="auto"/>
          </w:tcPr>
          <w:p w14:paraId="0584FD05" w14:textId="77777777" w:rsidR="00850555" w:rsidRPr="004775EC" w:rsidRDefault="00850555">
            <w:pPr>
              <w:jc w:val="center"/>
              <w:rPr>
                <w:rFonts w:ascii="Arial" w:hAnsi="Arial" w:cs="Arial"/>
                <w:sz w:val="20"/>
                <w:szCs w:val="20"/>
              </w:rPr>
            </w:pPr>
          </w:p>
        </w:tc>
        <w:tc>
          <w:tcPr>
            <w:tcW w:w="1217" w:type="dxa"/>
            <w:tcBorders>
              <w:right w:val="single" w:sz="4" w:space="0" w:color="auto"/>
            </w:tcBorders>
            <w:shd w:val="clear" w:color="auto" w:fill="auto"/>
            <w:noWrap/>
            <w:vAlign w:val="bottom"/>
          </w:tcPr>
          <w:p w14:paraId="73F611D6" w14:textId="1CCD2805" w:rsidR="00850555" w:rsidRPr="004775EC" w:rsidRDefault="00850555">
            <w:pPr>
              <w:jc w:val="center"/>
              <w:rPr>
                <w:rFonts w:ascii="Arial" w:hAnsi="Arial" w:cs="Arial"/>
                <w:sz w:val="20"/>
                <w:szCs w:val="20"/>
              </w:rPr>
            </w:pPr>
          </w:p>
        </w:tc>
        <w:tc>
          <w:tcPr>
            <w:tcW w:w="3071" w:type="dxa"/>
            <w:gridSpan w:val="3"/>
            <w:tcBorders>
              <w:top w:val="single" w:sz="4" w:space="0" w:color="auto"/>
              <w:left w:val="nil"/>
              <w:bottom w:val="single" w:sz="4" w:space="0" w:color="auto"/>
              <w:right w:val="single" w:sz="4" w:space="0" w:color="auto"/>
            </w:tcBorders>
            <w:shd w:val="clear" w:color="000000" w:fill="D9D9D9"/>
            <w:noWrap/>
            <w:vAlign w:val="bottom"/>
          </w:tcPr>
          <w:p w14:paraId="7C912357" w14:textId="450F4EB2" w:rsidR="00850555" w:rsidRDefault="00850555">
            <w:pPr>
              <w:jc w:val="center"/>
              <w:rPr>
                <w:rFonts w:ascii="Arial" w:hAnsi="Arial" w:cs="Arial"/>
                <w:sz w:val="20"/>
                <w:szCs w:val="20"/>
              </w:rPr>
            </w:pPr>
            <w:r>
              <w:rPr>
                <w:rFonts w:ascii="Arial" w:hAnsi="Arial" w:cs="Arial"/>
                <w:sz w:val="20"/>
                <w:szCs w:val="20"/>
              </w:rPr>
              <w:t>Impact</w:t>
            </w:r>
          </w:p>
        </w:tc>
      </w:tr>
      <w:tr w:rsidR="00850555" w14:paraId="19932464" w14:textId="77777777" w:rsidTr="00A332F3">
        <w:trPr>
          <w:trHeight w:val="255"/>
          <w:jc w:val="center"/>
        </w:trPr>
        <w:tc>
          <w:tcPr>
            <w:tcW w:w="1253" w:type="dxa"/>
            <w:tcBorders>
              <w:bottom w:val="single" w:sz="4" w:space="0" w:color="auto"/>
            </w:tcBorders>
            <w:shd w:val="clear" w:color="auto" w:fill="auto"/>
          </w:tcPr>
          <w:p w14:paraId="350CBD3F" w14:textId="77777777" w:rsidR="00850555" w:rsidRPr="004775EC" w:rsidRDefault="00850555">
            <w:pPr>
              <w:jc w:val="center"/>
              <w:rPr>
                <w:rFonts w:ascii="Arial" w:hAnsi="Arial" w:cs="Arial"/>
                <w:sz w:val="20"/>
                <w:szCs w:val="20"/>
              </w:rPr>
            </w:pPr>
          </w:p>
        </w:tc>
        <w:tc>
          <w:tcPr>
            <w:tcW w:w="1217" w:type="dxa"/>
            <w:tcBorders>
              <w:bottom w:val="single" w:sz="4" w:space="0" w:color="auto"/>
              <w:right w:val="single" w:sz="4" w:space="0" w:color="auto"/>
            </w:tcBorders>
            <w:shd w:val="clear" w:color="auto" w:fill="auto"/>
            <w:noWrap/>
            <w:vAlign w:val="bottom"/>
          </w:tcPr>
          <w:p w14:paraId="24720650" w14:textId="7B081F1A" w:rsidR="00850555" w:rsidRPr="00A332F3" w:rsidRDefault="00850555" w:rsidP="00A332F3">
            <w:pPr>
              <w:jc w:val="center"/>
              <w:rPr>
                <w:rFonts w:ascii="Arial" w:hAnsi="Arial" w:cs="Arial"/>
                <w:sz w:val="20"/>
                <w:szCs w:val="20"/>
              </w:rPr>
            </w:pPr>
          </w:p>
        </w:tc>
        <w:tc>
          <w:tcPr>
            <w:tcW w:w="1020" w:type="dxa"/>
            <w:tcBorders>
              <w:top w:val="single" w:sz="4" w:space="0" w:color="auto"/>
              <w:left w:val="nil"/>
              <w:bottom w:val="single" w:sz="4" w:space="0" w:color="auto"/>
              <w:right w:val="single" w:sz="4" w:space="0" w:color="auto"/>
            </w:tcBorders>
            <w:shd w:val="clear" w:color="000000" w:fill="D9D9D9"/>
            <w:noWrap/>
            <w:vAlign w:val="bottom"/>
          </w:tcPr>
          <w:p w14:paraId="4568FC23" w14:textId="77777777" w:rsidR="00850555" w:rsidRDefault="00850555" w:rsidP="00A332F3">
            <w:pPr>
              <w:jc w:val="center"/>
              <w:rPr>
                <w:rFonts w:ascii="Arial" w:hAnsi="Arial" w:cs="Arial"/>
                <w:sz w:val="20"/>
                <w:szCs w:val="20"/>
              </w:rPr>
            </w:pPr>
            <w:r>
              <w:rPr>
                <w:rFonts w:ascii="Arial" w:hAnsi="Arial" w:cs="Arial"/>
                <w:sz w:val="20"/>
                <w:szCs w:val="20"/>
              </w:rPr>
              <w:t>Severe</w:t>
            </w:r>
          </w:p>
        </w:tc>
        <w:tc>
          <w:tcPr>
            <w:tcW w:w="1061" w:type="dxa"/>
            <w:tcBorders>
              <w:top w:val="single" w:sz="4" w:space="0" w:color="auto"/>
              <w:left w:val="nil"/>
              <w:bottom w:val="single" w:sz="4" w:space="0" w:color="auto"/>
              <w:right w:val="single" w:sz="4" w:space="0" w:color="auto"/>
            </w:tcBorders>
            <w:shd w:val="clear" w:color="000000" w:fill="D9D9D9"/>
            <w:noWrap/>
            <w:vAlign w:val="bottom"/>
          </w:tcPr>
          <w:p w14:paraId="679D92B8" w14:textId="77777777" w:rsidR="00850555" w:rsidRDefault="00850555" w:rsidP="00A332F3">
            <w:pPr>
              <w:jc w:val="center"/>
              <w:rPr>
                <w:rFonts w:ascii="Arial" w:hAnsi="Arial" w:cs="Arial"/>
                <w:sz w:val="20"/>
                <w:szCs w:val="20"/>
              </w:rPr>
            </w:pPr>
            <w:r>
              <w:rPr>
                <w:rFonts w:ascii="Arial" w:hAnsi="Arial" w:cs="Arial"/>
                <w:sz w:val="20"/>
                <w:szCs w:val="20"/>
              </w:rPr>
              <w:t>Moderate</w:t>
            </w:r>
          </w:p>
        </w:tc>
        <w:tc>
          <w:tcPr>
            <w:tcW w:w="990" w:type="dxa"/>
            <w:tcBorders>
              <w:top w:val="single" w:sz="4" w:space="0" w:color="auto"/>
              <w:left w:val="nil"/>
              <w:bottom w:val="single" w:sz="4" w:space="0" w:color="auto"/>
              <w:right w:val="single" w:sz="4" w:space="0" w:color="auto"/>
            </w:tcBorders>
            <w:shd w:val="clear" w:color="000000" w:fill="D9D9D9"/>
            <w:noWrap/>
            <w:vAlign w:val="bottom"/>
          </w:tcPr>
          <w:p w14:paraId="23128C0A" w14:textId="77777777" w:rsidR="00850555" w:rsidRDefault="00850555" w:rsidP="00A332F3">
            <w:pPr>
              <w:jc w:val="center"/>
              <w:rPr>
                <w:rFonts w:ascii="Arial" w:hAnsi="Arial" w:cs="Arial"/>
                <w:sz w:val="20"/>
                <w:szCs w:val="20"/>
              </w:rPr>
            </w:pPr>
            <w:r>
              <w:rPr>
                <w:rFonts w:ascii="Arial" w:hAnsi="Arial" w:cs="Arial"/>
                <w:sz w:val="20"/>
                <w:szCs w:val="20"/>
              </w:rPr>
              <w:t>Low</w:t>
            </w:r>
          </w:p>
        </w:tc>
      </w:tr>
      <w:tr w:rsidR="00850555" w14:paraId="3C13BB5B" w14:textId="77777777" w:rsidTr="00A332F3">
        <w:trPr>
          <w:trHeight w:val="255"/>
          <w:jc w:val="center"/>
        </w:trPr>
        <w:tc>
          <w:tcPr>
            <w:tcW w:w="1253" w:type="dxa"/>
            <w:vMerge w:val="restart"/>
            <w:tcBorders>
              <w:top w:val="nil"/>
              <w:left w:val="single" w:sz="4" w:space="0" w:color="auto"/>
              <w:right w:val="single" w:sz="4" w:space="0" w:color="auto"/>
            </w:tcBorders>
            <w:shd w:val="clear" w:color="000000" w:fill="D9D9D9"/>
            <w:vAlign w:val="center"/>
          </w:tcPr>
          <w:p w14:paraId="5253FD6A" w14:textId="4BBFED75" w:rsidR="00850555" w:rsidRDefault="00850555">
            <w:pPr>
              <w:jc w:val="center"/>
              <w:rPr>
                <w:rFonts w:ascii="Arial" w:hAnsi="Arial" w:cs="Arial"/>
                <w:sz w:val="20"/>
                <w:szCs w:val="20"/>
              </w:rPr>
            </w:pPr>
            <w:r>
              <w:rPr>
                <w:rFonts w:ascii="Arial" w:hAnsi="Arial" w:cs="Arial"/>
                <w:sz w:val="20"/>
                <w:szCs w:val="20"/>
              </w:rPr>
              <w:t>Probability</w:t>
            </w:r>
          </w:p>
        </w:tc>
        <w:tc>
          <w:tcPr>
            <w:tcW w:w="1217" w:type="dxa"/>
            <w:tcBorders>
              <w:top w:val="nil"/>
              <w:left w:val="single" w:sz="4" w:space="0" w:color="auto"/>
              <w:bottom w:val="single" w:sz="4" w:space="0" w:color="auto"/>
              <w:right w:val="single" w:sz="4" w:space="0" w:color="auto"/>
            </w:tcBorders>
            <w:shd w:val="clear" w:color="000000" w:fill="D9D9D9"/>
            <w:noWrap/>
            <w:vAlign w:val="bottom"/>
          </w:tcPr>
          <w:p w14:paraId="3CE7D21E" w14:textId="44C4F0BB" w:rsidR="00850555" w:rsidRDefault="00850555" w:rsidP="00A332F3">
            <w:pPr>
              <w:jc w:val="center"/>
              <w:rPr>
                <w:rFonts w:ascii="Arial" w:hAnsi="Arial" w:cs="Arial"/>
                <w:sz w:val="20"/>
                <w:szCs w:val="20"/>
              </w:rPr>
            </w:pPr>
            <w:r>
              <w:rPr>
                <w:rFonts w:ascii="Arial" w:hAnsi="Arial" w:cs="Arial"/>
                <w:sz w:val="20"/>
                <w:szCs w:val="20"/>
              </w:rPr>
              <w:t>High</w:t>
            </w:r>
          </w:p>
        </w:tc>
        <w:tc>
          <w:tcPr>
            <w:tcW w:w="1020" w:type="dxa"/>
            <w:tcBorders>
              <w:top w:val="nil"/>
              <w:left w:val="nil"/>
              <w:bottom w:val="single" w:sz="4" w:space="0" w:color="auto"/>
              <w:right w:val="single" w:sz="4" w:space="0" w:color="auto"/>
            </w:tcBorders>
            <w:shd w:val="clear" w:color="000000" w:fill="E6B8B7"/>
            <w:noWrap/>
            <w:vAlign w:val="bottom"/>
          </w:tcPr>
          <w:p w14:paraId="24748ECF" w14:textId="77777777" w:rsidR="00850555" w:rsidRDefault="00850555" w:rsidP="00A332F3">
            <w:pPr>
              <w:jc w:val="center"/>
              <w:rPr>
                <w:rFonts w:ascii="Arial" w:hAnsi="Arial" w:cs="Arial"/>
                <w:sz w:val="20"/>
                <w:szCs w:val="20"/>
              </w:rPr>
            </w:pPr>
            <w:r>
              <w:rPr>
                <w:rFonts w:ascii="Arial" w:hAnsi="Arial" w:cs="Arial"/>
                <w:sz w:val="20"/>
                <w:szCs w:val="20"/>
              </w:rPr>
              <w:t>0.675</w:t>
            </w:r>
          </w:p>
        </w:tc>
        <w:tc>
          <w:tcPr>
            <w:tcW w:w="1061" w:type="dxa"/>
            <w:tcBorders>
              <w:top w:val="nil"/>
              <w:left w:val="nil"/>
              <w:bottom w:val="single" w:sz="4" w:space="0" w:color="auto"/>
              <w:right w:val="single" w:sz="4" w:space="0" w:color="auto"/>
            </w:tcBorders>
            <w:shd w:val="clear" w:color="000000" w:fill="FFFF00"/>
            <w:noWrap/>
            <w:vAlign w:val="bottom"/>
          </w:tcPr>
          <w:p w14:paraId="269760BC" w14:textId="77777777" w:rsidR="00850555" w:rsidRDefault="00850555" w:rsidP="00A332F3">
            <w:pPr>
              <w:jc w:val="center"/>
              <w:rPr>
                <w:rFonts w:ascii="Arial" w:hAnsi="Arial" w:cs="Arial"/>
                <w:sz w:val="20"/>
                <w:szCs w:val="20"/>
              </w:rPr>
            </w:pPr>
            <w:r>
              <w:rPr>
                <w:rFonts w:ascii="Arial" w:hAnsi="Arial" w:cs="Arial"/>
                <w:sz w:val="20"/>
                <w:szCs w:val="20"/>
              </w:rPr>
              <w:t>0.375</w:t>
            </w:r>
          </w:p>
        </w:tc>
        <w:tc>
          <w:tcPr>
            <w:tcW w:w="990" w:type="dxa"/>
            <w:tcBorders>
              <w:top w:val="nil"/>
              <w:left w:val="nil"/>
              <w:bottom w:val="single" w:sz="4" w:space="0" w:color="auto"/>
              <w:right w:val="single" w:sz="4" w:space="0" w:color="auto"/>
            </w:tcBorders>
            <w:shd w:val="clear" w:color="000000" w:fill="92D050"/>
            <w:noWrap/>
            <w:vAlign w:val="bottom"/>
          </w:tcPr>
          <w:p w14:paraId="1866D55B" w14:textId="77777777" w:rsidR="00850555" w:rsidRDefault="00850555" w:rsidP="00A332F3">
            <w:pPr>
              <w:jc w:val="center"/>
              <w:rPr>
                <w:rFonts w:ascii="Arial" w:hAnsi="Arial" w:cs="Arial"/>
                <w:sz w:val="20"/>
                <w:szCs w:val="20"/>
              </w:rPr>
            </w:pPr>
            <w:r>
              <w:rPr>
                <w:rFonts w:ascii="Arial" w:hAnsi="Arial" w:cs="Arial"/>
                <w:sz w:val="20"/>
                <w:szCs w:val="20"/>
              </w:rPr>
              <w:t>0.075</w:t>
            </w:r>
          </w:p>
        </w:tc>
      </w:tr>
      <w:tr w:rsidR="00850555" w14:paraId="6AE2CF10" w14:textId="77777777" w:rsidTr="00A332F3">
        <w:trPr>
          <w:trHeight w:val="255"/>
          <w:jc w:val="center"/>
        </w:trPr>
        <w:tc>
          <w:tcPr>
            <w:tcW w:w="1253" w:type="dxa"/>
            <w:vMerge/>
            <w:tcBorders>
              <w:left w:val="single" w:sz="4" w:space="0" w:color="auto"/>
              <w:right w:val="single" w:sz="4" w:space="0" w:color="auto"/>
            </w:tcBorders>
            <w:shd w:val="clear" w:color="000000" w:fill="D9D9D9"/>
          </w:tcPr>
          <w:p w14:paraId="22D0C620" w14:textId="77777777" w:rsidR="00850555" w:rsidRDefault="00850555">
            <w:pPr>
              <w:jc w:val="center"/>
              <w:rPr>
                <w:rFonts w:ascii="Arial" w:hAnsi="Arial" w:cs="Arial"/>
                <w:sz w:val="20"/>
                <w:szCs w:val="20"/>
              </w:rPr>
            </w:pPr>
          </w:p>
        </w:tc>
        <w:tc>
          <w:tcPr>
            <w:tcW w:w="1217" w:type="dxa"/>
            <w:tcBorders>
              <w:top w:val="nil"/>
              <w:left w:val="single" w:sz="4" w:space="0" w:color="auto"/>
              <w:bottom w:val="single" w:sz="4" w:space="0" w:color="auto"/>
              <w:right w:val="single" w:sz="4" w:space="0" w:color="auto"/>
            </w:tcBorders>
            <w:shd w:val="clear" w:color="000000" w:fill="D9D9D9"/>
            <w:noWrap/>
            <w:vAlign w:val="bottom"/>
          </w:tcPr>
          <w:p w14:paraId="5C076DD8" w14:textId="7B2DB048" w:rsidR="00850555" w:rsidRDefault="00850555" w:rsidP="00A332F3">
            <w:pPr>
              <w:jc w:val="center"/>
              <w:rPr>
                <w:rFonts w:ascii="Arial" w:hAnsi="Arial" w:cs="Arial"/>
                <w:sz w:val="20"/>
                <w:szCs w:val="20"/>
              </w:rPr>
            </w:pPr>
            <w:r>
              <w:rPr>
                <w:rFonts w:ascii="Arial" w:hAnsi="Arial" w:cs="Arial"/>
                <w:sz w:val="20"/>
                <w:szCs w:val="20"/>
              </w:rPr>
              <w:t>Medium</w:t>
            </w:r>
          </w:p>
        </w:tc>
        <w:tc>
          <w:tcPr>
            <w:tcW w:w="1020" w:type="dxa"/>
            <w:tcBorders>
              <w:top w:val="nil"/>
              <w:left w:val="nil"/>
              <w:bottom w:val="single" w:sz="4" w:space="0" w:color="auto"/>
              <w:right w:val="single" w:sz="4" w:space="0" w:color="auto"/>
            </w:tcBorders>
            <w:shd w:val="clear" w:color="000000" w:fill="FFFF00"/>
            <w:noWrap/>
            <w:vAlign w:val="bottom"/>
          </w:tcPr>
          <w:p w14:paraId="240DE4DE" w14:textId="77777777" w:rsidR="00850555" w:rsidRDefault="00850555" w:rsidP="00A332F3">
            <w:pPr>
              <w:jc w:val="center"/>
              <w:rPr>
                <w:rFonts w:ascii="Arial" w:hAnsi="Arial" w:cs="Arial"/>
                <w:sz w:val="20"/>
                <w:szCs w:val="20"/>
              </w:rPr>
            </w:pPr>
            <w:r>
              <w:rPr>
                <w:rFonts w:ascii="Arial" w:hAnsi="Arial" w:cs="Arial"/>
                <w:sz w:val="20"/>
                <w:szCs w:val="20"/>
              </w:rPr>
              <w:t>0.450</w:t>
            </w:r>
          </w:p>
        </w:tc>
        <w:tc>
          <w:tcPr>
            <w:tcW w:w="1061" w:type="dxa"/>
            <w:tcBorders>
              <w:top w:val="nil"/>
              <w:left w:val="nil"/>
              <w:bottom w:val="single" w:sz="4" w:space="0" w:color="auto"/>
              <w:right w:val="single" w:sz="4" w:space="0" w:color="auto"/>
            </w:tcBorders>
            <w:shd w:val="clear" w:color="000000" w:fill="FFFF00"/>
            <w:noWrap/>
            <w:vAlign w:val="bottom"/>
          </w:tcPr>
          <w:p w14:paraId="4411D39E" w14:textId="77777777" w:rsidR="00850555" w:rsidRDefault="00850555" w:rsidP="00A332F3">
            <w:pPr>
              <w:jc w:val="center"/>
              <w:rPr>
                <w:rFonts w:ascii="Arial" w:hAnsi="Arial" w:cs="Arial"/>
                <w:sz w:val="20"/>
                <w:szCs w:val="20"/>
              </w:rPr>
            </w:pPr>
            <w:r>
              <w:rPr>
                <w:rFonts w:ascii="Arial" w:hAnsi="Arial" w:cs="Arial"/>
                <w:sz w:val="20"/>
                <w:szCs w:val="20"/>
              </w:rPr>
              <w:t>0.250</w:t>
            </w:r>
          </w:p>
        </w:tc>
        <w:tc>
          <w:tcPr>
            <w:tcW w:w="990" w:type="dxa"/>
            <w:tcBorders>
              <w:top w:val="nil"/>
              <w:left w:val="nil"/>
              <w:bottom w:val="single" w:sz="4" w:space="0" w:color="auto"/>
              <w:right w:val="single" w:sz="4" w:space="0" w:color="auto"/>
            </w:tcBorders>
            <w:shd w:val="clear" w:color="000000" w:fill="92D050"/>
            <w:noWrap/>
            <w:vAlign w:val="bottom"/>
          </w:tcPr>
          <w:p w14:paraId="7AF02C5C" w14:textId="77777777" w:rsidR="00850555" w:rsidRDefault="00850555" w:rsidP="00A332F3">
            <w:pPr>
              <w:jc w:val="center"/>
              <w:rPr>
                <w:rFonts w:ascii="Arial" w:hAnsi="Arial" w:cs="Arial"/>
                <w:sz w:val="20"/>
                <w:szCs w:val="20"/>
              </w:rPr>
            </w:pPr>
            <w:r>
              <w:rPr>
                <w:rFonts w:ascii="Arial" w:hAnsi="Arial" w:cs="Arial"/>
                <w:sz w:val="20"/>
                <w:szCs w:val="20"/>
              </w:rPr>
              <w:t>0.050</w:t>
            </w:r>
          </w:p>
        </w:tc>
      </w:tr>
      <w:tr w:rsidR="00850555" w14:paraId="79707FE9" w14:textId="77777777" w:rsidTr="00A332F3">
        <w:trPr>
          <w:trHeight w:val="255"/>
          <w:jc w:val="center"/>
        </w:trPr>
        <w:tc>
          <w:tcPr>
            <w:tcW w:w="1253" w:type="dxa"/>
            <w:vMerge/>
            <w:tcBorders>
              <w:left w:val="single" w:sz="4" w:space="0" w:color="auto"/>
              <w:bottom w:val="single" w:sz="4" w:space="0" w:color="auto"/>
              <w:right w:val="single" w:sz="4" w:space="0" w:color="auto"/>
            </w:tcBorders>
            <w:shd w:val="clear" w:color="000000" w:fill="D9D9D9"/>
          </w:tcPr>
          <w:p w14:paraId="3D1FBBF1" w14:textId="77777777" w:rsidR="00850555" w:rsidRDefault="00850555">
            <w:pPr>
              <w:jc w:val="center"/>
              <w:rPr>
                <w:rFonts w:ascii="Arial" w:hAnsi="Arial" w:cs="Arial"/>
                <w:sz w:val="20"/>
                <w:szCs w:val="20"/>
              </w:rPr>
            </w:pPr>
          </w:p>
        </w:tc>
        <w:tc>
          <w:tcPr>
            <w:tcW w:w="1217" w:type="dxa"/>
            <w:tcBorders>
              <w:top w:val="nil"/>
              <w:left w:val="single" w:sz="4" w:space="0" w:color="auto"/>
              <w:bottom w:val="single" w:sz="4" w:space="0" w:color="auto"/>
              <w:right w:val="single" w:sz="4" w:space="0" w:color="auto"/>
            </w:tcBorders>
            <w:shd w:val="clear" w:color="000000" w:fill="D9D9D9"/>
            <w:noWrap/>
            <w:vAlign w:val="bottom"/>
          </w:tcPr>
          <w:p w14:paraId="1A2E8C94" w14:textId="3E4D78CA" w:rsidR="00850555" w:rsidRDefault="00850555" w:rsidP="00A332F3">
            <w:pPr>
              <w:jc w:val="center"/>
              <w:rPr>
                <w:rFonts w:ascii="Arial" w:hAnsi="Arial" w:cs="Arial"/>
                <w:sz w:val="20"/>
                <w:szCs w:val="20"/>
              </w:rPr>
            </w:pPr>
            <w:r>
              <w:rPr>
                <w:rFonts w:ascii="Arial" w:hAnsi="Arial" w:cs="Arial"/>
                <w:sz w:val="20"/>
                <w:szCs w:val="20"/>
              </w:rPr>
              <w:t>Low</w:t>
            </w:r>
          </w:p>
        </w:tc>
        <w:tc>
          <w:tcPr>
            <w:tcW w:w="1020" w:type="dxa"/>
            <w:tcBorders>
              <w:top w:val="nil"/>
              <w:left w:val="nil"/>
              <w:bottom w:val="single" w:sz="4" w:space="0" w:color="auto"/>
              <w:right w:val="single" w:sz="4" w:space="0" w:color="auto"/>
            </w:tcBorders>
            <w:shd w:val="clear" w:color="000000" w:fill="FFFF00"/>
            <w:noWrap/>
            <w:vAlign w:val="bottom"/>
          </w:tcPr>
          <w:p w14:paraId="06D3D5AC" w14:textId="77777777" w:rsidR="00850555" w:rsidRDefault="00850555" w:rsidP="00A332F3">
            <w:pPr>
              <w:jc w:val="center"/>
              <w:rPr>
                <w:rFonts w:ascii="Arial" w:hAnsi="Arial" w:cs="Arial"/>
                <w:sz w:val="20"/>
                <w:szCs w:val="20"/>
              </w:rPr>
            </w:pPr>
            <w:r>
              <w:rPr>
                <w:rFonts w:ascii="Arial" w:hAnsi="Arial" w:cs="Arial"/>
                <w:sz w:val="20"/>
                <w:szCs w:val="20"/>
              </w:rPr>
              <w:t>0.225</w:t>
            </w:r>
          </w:p>
        </w:tc>
        <w:tc>
          <w:tcPr>
            <w:tcW w:w="1061" w:type="dxa"/>
            <w:tcBorders>
              <w:top w:val="nil"/>
              <w:left w:val="nil"/>
              <w:bottom w:val="single" w:sz="4" w:space="0" w:color="auto"/>
              <w:right w:val="single" w:sz="4" w:space="0" w:color="auto"/>
            </w:tcBorders>
            <w:shd w:val="clear" w:color="000000" w:fill="92D050"/>
            <w:noWrap/>
            <w:vAlign w:val="bottom"/>
          </w:tcPr>
          <w:p w14:paraId="07B8DB0A" w14:textId="77777777" w:rsidR="00850555" w:rsidRDefault="00850555" w:rsidP="00A332F3">
            <w:pPr>
              <w:jc w:val="center"/>
              <w:rPr>
                <w:rFonts w:ascii="Arial" w:hAnsi="Arial" w:cs="Arial"/>
                <w:sz w:val="20"/>
                <w:szCs w:val="20"/>
              </w:rPr>
            </w:pPr>
            <w:r>
              <w:rPr>
                <w:rFonts w:ascii="Arial" w:hAnsi="Arial" w:cs="Arial"/>
                <w:sz w:val="20"/>
                <w:szCs w:val="20"/>
              </w:rPr>
              <w:t>0.125</w:t>
            </w:r>
          </w:p>
        </w:tc>
        <w:tc>
          <w:tcPr>
            <w:tcW w:w="990" w:type="dxa"/>
            <w:tcBorders>
              <w:top w:val="nil"/>
              <w:left w:val="nil"/>
              <w:bottom w:val="single" w:sz="4" w:space="0" w:color="auto"/>
              <w:right w:val="single" w:sz="4" w:space="0" w:color="auto"/>
            </w:tcBorders>
            <w:shd w:val="clear" w:color="000000" w:fill="92D050"/>
            <w:noWrap/>
            <w:vAlign w:val="bottom"/>
          </w:tcPr>
          <w:p w14:paraId="59B7C0E9" w14:textId="77777777" w:rsidR="00850555" w:rsidRDefault="00850555" w:rsidP="00A332F3">
            <w:pPr>
              <w:jc w:val="center"/>
              <w:rPr>
                <w:rFonts w:ascii="Arial" w:hAnsi="Arial" w:cs="Arial"/>
                <w:sz w:val="20"/>
                <w:szCs w:val="20"/>
              </w:rPr>
            </w:pPr>
            <w:r>
              <w:rPr>
                <w:rFonts w:ascii="Arial" w:hAnsi="Arial" w:cs="Arial"/>
                <w:sz w:val="20"/>
                <w:szCs w:val="20"/>
              </w:rPr>
              <w:t>0.025</w:t>
            </w:r>
          </w:p>
        </w:tc>
      </w:tr>
    </w:tbl>
    <w:p w14:paraId="6BE8029B" w14:textId="29D71D6E" w:rsidR="005C7A17" w:rsidRDefault="005C7A17" w:rsidP="004775EC">
      <w:pPr>
        <w:jc w:val="center"/>
      </w:pPr>
    </w:p>
    <w:p w14:paraId="3C90BC8F" w14:textId="77777777" w:rsidR="001F336A" w:rsidRDefault="001F336A" w:rsidP="00A332F3">
      <w:pPr>
        <w:jc w:val="center"/>
      </w:pPr>
    </w:p>
    <w:p w14:paraId="3EB8E2FA" w14:textId="77777777" w:rsidR="0042149C" w:rsidRDefault="0042149C" w:rsidP="00A332F3">
      <w:pPr>
        <w:spacing w:after="120"/>
        <w:jc w:val="center"/>
      </w:pPr>
      <w:r w:rsidRPr="00645908">
        <w:t xml:space="preserve">Table </w:t>
      </w:r>
      <w:r>
        <w:t>3: Risk Prioritization Table</w:t>
      </w:r>
    </w:p>
    <w:tbl>
      <w:tblPr>
        <w:tblW w:w="9937" w:type="dxa"/>
        <w:tblInd w:w="103" w:type="dxa"/>
        <w:tblLook w:val="04A0" w:firstRow="1" w:lastRow="0" w:firstColumn="1" w:lastColumn="0" w:noHBand="0" w:noVBand="1"/>
      </w:tblPr>
      <w:tblGrid>
        <w:gridCol w:w="1265"/>
        <w:gridCol w:w="1170"/>
        <w:gridCol w:w="1260"/>
        <w:gridCol w:w="1890"/>
        <w:gridCol w:w="2070"/>
        <w:gridCol w:w="2282"/>
      </w:tblGrid>
      <w:tr w:rsidR="00546E56" w14:paraId="535BB30B" w14:textId="77777777" w:rsidTr="00E22A2E">
        <w:trPr>
          <w:trHeight w:val="255"/>
        </w:trPr>
        <w:tc>
          <w:tcPr>
            <w:tcW w:w="126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1F4542F" w14:textId="77777777" w:rsidR="005843E8" w:rsidRDefault="005843E8" w:rsidP="00A332F3">
            <w:pPr>
              <w:jc w:val="center"/>
              <w:rPr>
                <w:rFonts w:ascii="Arial" w:hAnsi="Arial" w:cs="Arial"/>
                <w:sz w:val="20"/>
                <w:szCs w:val="20"/>
              </w:rPr>
            </w:pPr>
            <w:r>
              <w:rPr>
                <w:rFonts w:ascii="Arial" w:hAnsi="Arial" w:cs="Arial"/>
                <w:sz w:val="20"/>
                <w:szCs w:val="20"/>
              </w:rPr>
              <w:t>Risk Priority</w:t>
            </w:r>
          </w:p>
        </w:tc>
        <w:tc>
          <w:tcPr>
            <w:tcW w:w="1170" w:type="dxa"/>
            <w:tcBorders>
              <w:top w:val="single" w:sz="4" w:space="0" w:color="auto"/>
              <w:left w:val="nil"/>
              <w:bottom w:val="single" w:sz="4" w:space="0" w:color="auto"/>
              <w:right w:val="single" w:sz="4" w:space="0" w:color="auto"/>
            </w:tcBorders>
            <w:shd w:val="clear" w:color="000000" w:fill="D9D9D9"/>
            <w:noWrap/>
            <w:vAlign w:val="bottom"/>
          </w:tcPr>
          <w:p w14:paraId="254E749B" w14:textId="77777777" w:rsidR="005843E8" w:rsidRDefault="005843E8" w:rsidP="00A332F3">
            <w:pPr>
              <w:jc w:val="center"/>
              <w:rPr>
                <w:rFonts w:ascii="Arial" w:hAnsi="Arial" w:cs="Arial"/>
                <w:sz w:val="20"/>
                <w:szCs w:val="20"/>
              </w:rPr>
            </w:pPr>
            <w:r>
              <w:rPr>
                <w:rFonts w:ascii="Arial" w:hAnsi="Arial" w:cs="Arial"/>
                <w:sz w:val="20"/>
                <w:szCs w:val="20"/>
              </w:rPr>
              <w:t>Rating Low Value</w:t>
            </w:r>
          </w:p>
        </w:tc>
        <w:tc>
          <w:tcPr>
            <w:tcW w:w="1260" w:type="dxa"/>
            <w:tcBorders>
              <w:top w:val="single" w:sz="4" w:space="0" w:color="auto"/>
              <w:left w:val="nil"/>
              <w:bottom w:val="single" w:sz="4" w:space="0" w:color="auto"/>
              <w:right w:val="single" w:sz="4" w:space="0" w:color="auto"/>
            </w:tcBorders>
            <w:shd w:val="clear" w:color="000000" w:fill="D9D9D9"/>
            <w:noWrap/>
            <w:vAlign w:val="bottom"/>
          </w:tcPr>
          <w:p w14:paraId="4DDC1681" w14:textId="77777777" w:rsidR="005843E8" w:rsidRDefault="005843E8" w:rsidP="00A332F3">
            <w:pPr>
              <w:jc w:val="center"/>
              <w:rPr>
                <w:rFonts w:ascii="Arial" w:hAnsi="Arial" w:cs="Arial"/>
                <w:sz w:val="20"/>
                <w:szCs w:val="20"/>
              </w:rPr>
            </w:pPr>
            <w:r>
              <w:rPr>
                <w:rFonts w:ascii="Arial" w:hAnsi="Arial" w:cs="Arial"/>
                <w:sz w:val="20"/>
                <w:szCs w:val="20"/>
              </w:rPr>
              <w:t>Rating High Value</w:t>
            </w:r>
          </w:p>
        </w:tc>
        <w:tc>
          <w:tcPr>
            <w:tcW w:w="1890" w:type="dxa"/>
            <w:tcBorders>
              <w:top w:val="single" w:sz="4" w:space="0" w:color="auto"/>
              <w:left w:val="nil"/>
              <w:bottom w:val="single" w:sz="4" w:space="0" w:color="auto"/>
              <w:right w:val="single" w:sz="4" w:space="0" w:color="auto"/>
            </w:tcBorders>
            <w:shd w:val="clear" w:color="000000" w:fill="D9D9D9"/>
            <w:noWrap/>
            <w:vAlign w:val="bottom"/>
          </w:tcPr>
          <w:p w14:paraId="0F58358C" w14:textId="77777777" w:rsidR="005843E8" w:rsidRDefault="005843E8" w:rsidP="00A332F3">
            <w:pPr>
              <w:jc w:val="center"/>
              <w:rPr>
                <w:rFonts w:ascii="Arial" w:hAnsi="Arial" w:cs="Arial"/>
                <w:sz w:val="20"/>
                <w:szCs w:val="20"/>
              </w:rPr>
            </w:pPr>
            <w:r>
              <w:rPr>
                <w:rFonts w:ascii="Arial" w:hAnsi="Arial" w:cs="Arial"/>
                <w:sz w:val="20"/>
                <w:szCs w:val="20"/>
              </w:rPr>
              <w:t>Risk Planning Level</w:t>
            </w:r>
          </w:p>
        </w:tc>
        <w:tc>
          <w:tcPr>
            <w:tcW w:w="2070" w:type="dxa"/>
            <w:tcBorders>
              <w:top w:val="single" w:sz="4" w:space="0" w:color="auto"/>
              <w:left w:val="nil"/>
              <w:bottom w:val="single" w:sz="4" w:space="0" w:color="auto"/>
              <w:right w:val="single" w:sz="4" w:space="0" w:color="auto"/>
            </w:tcBorders>
            <w:shd w:val="clear" w:color="000000" w:fill="D9D9D9"/>
            <w:vAlign w:val="bottom"/>
          </w:tcPr>
          <w:p w14:paraId="460AF7CD" w14:textId="77777777" w:rsidR="005843E8" w:rsidRDefault="005843E8" w:rsidP="00A332F3">
            <w:pPr>
              <w:jc w:val="center"/>
              <w:rPr>
                <w:rFonts w:ascii="Arial" w:hAnsi="Arial" w:cs="Arial"/>
                <w:sz w:val="20"/>
                <w:szCs w:val="20"/>
              </w:rPr>
            </w:pPr>
            <w:r>
              <w:rPr>
                <w:rFonts w:ascii="Arial" w:hAnsi="Arial" w:cs="Arial"/>
                <w:sz w:val="20"/>
                <w:szCs w:val="20"/>
              </w:rPr>
              <w:t>Risk Plan Location</w:t>
            </w:r>
          </w:p>
        </w:tc>
        <w:tc>
          <w:tcPr>
            <w:tcW w:w="2282" w:type="dxa"/>
            <w:tcBorders>
              <w:top w:val="single" w:sz="4" w:space="0" w:color="auto"/>
              <w:left w:val="nil"/>
              <w:bottom w:val="single" w:sz="4" w:space="0" w:color="auto"/>
              <w:right w:val="single" w:sz="4" w:space="0" w:color="auto"/>
            </w:tcBorders>
            <w:shd w:val="clear" w:color="000000" w:fill="D9D9D9"/>
            <w:vAlign w:val="bottom"/>
          </w:tcPr>
          <w:p w14:paraId="2DD1594D" w14:textId="77777777" w:rsidR="005843E8" w:rsidRDefault="005843E8" w:rsidP="00A332F3">
            <w:pPr>
              <w:jc w:val="center"/>
              <w:rPr>
                <w:rFonts w:ascii="Arial" w:hAnsi="Arial" w:cs="Arial"/>
                <w:sz w:val="20"/>
                <w:szCs w:val="20"/>
              </w:rPr>
            </w:pPr>
            <w:r>
              <w:rPr>
                <w:rFonts w:ascii="Arial" w:hAnsi="Arial" w:cs="Arial"/>
                <w:sz w:val="20"/>
                <w:szCs w:val="20"/>
              </w:rPr>
              <w:t xml:space="preserve">Risk Review </w:t>
            </w:r>
            <w:r w:rsidR="00BF4AB8">
              <w:rPr>
                <w:rFonts w:ascii="Arial" w:hAnsi="Arial" w:cs="Arial"/>
                <w:sz w:val="20"/>
                <w:szCs w:val="20"/>
              </w:rPr>
              <w:t xml:space="preserve">(Minimum) </w:t>
            </w:r>
            <w:r>
              <w:rPr>
                <w:rFonts w:ascii="Arial" w:hAnsi="Arial" w:cs="Arial"/>
                <w:sz w:val="20"/>
                <w:szCs w:val="20"/>
              </w:rPr>
              <w:t>Frequency</w:t>
            </w:r>
          </w:p>
        </w:tc>
      </w:tr>
      <w:tr w:rsidR="00546E56" w14:paraId="22C78364" w14:textId="77777777" w:rsidTr="00E22A2E">
        <w:trPr>
          <w:trHeight w:val="255"/>
        </w:trPr>
        <w:tc>
          <w:tcPr>
            <w:tcW w:w="1265" w:type="dxa"/>
            <w:tcBorders>
              <w:top w:val="nil"/>
              <w:left w:val="single" w:sz="4" w:space="0" w:color="auto"/>
              <w:bottom w:val="single" w:sz="4" w:space="0" w:color="auto"/>
              <w:right w:val="single" w:sz="4" w:space="0" w:color="auto"/>
            </w:tcBorders>
            <w:shd w:val="clear" w:color="000000" w:fill="E6B8B7"/>
            <w:noWrap/>
            <w:vAlign w:val="bottom"/>
          </w:tcPr>
          <w:p w14:paraId="7FF07F30" w14:textId="77777777" w:rsidR="005843E8" w:rsidRDefault="005843E8" w:rsidP="00A332F3">
            <w:pPr>
              <w:jc w:val="center"/>
              <w:rPr>
                <w:rFonts w:ascii="Arial" w:hAnsi="Arial" w:cs="Arial"/>
                <w:sz w:val="20"/>
                <w:szCs w:val="20"/>
              </w:rPr>
            </w:pPr>
            <w:r>
              <w:rPr>
                <w:rFonts w:ascii="Arial" w:hAnsi="Arial" w:cs="Arial"/>
                <w:sz w:val="20"/>
                <w:szCs w:val="20"/>
              </w:rPr>
              <w:t>1 - High</w:t>
            </w:r>
          </w:p>
        </w:tc>
        <w:tc>
          <w:tcPr>
            <w:tcW w:w="1170" w:type="dxa"/>
            <w:tcBorders>
              <w:top w:val="nil"/>
              <w:left w:val="nil"/>
              <w:bottom w:val="single" w:sz="4" w:space="0" w:color="auto"/>
              <w:right w:val="single" w:sz="4" w:space="0" w:color="auto"/>
            </w:tcBorders>
            <w:shd w:val="clear" w:color="000000" w:fill="E6B8B7"/>
            <w:noWrap/>
            <w:vAlign w:val="bottom"/>
          </w:tcPr>
          <w:p w14:paraId="484C5E9B" w14:textId="77777777" w:rsidR="005843E8" w:rsidRDefault="005843E8" w:rsidP="00A332F3">
            <w:pPr>
              <w:jc w:val="center"/>
              <w:rPr>
                <w:rFonts w:ascii="Arial" w:hAnsi="Arial" w:cs="Arial"/>
                <w:sz w:val="20"/>
                <w:szCs w:val="20"/>
              </w:rPr>
            </w:pPr>
            <w:r>
              <w:rPr>
                <w:rFonts w:ascii="Arial" w:hAnsi="Arial" w:cs="Arial"/>
                <w:sz w:val="20"/>
                <w:szCs w:val="20"/>
              </w:rPr>
              <w:t>0.500</w:t>
            </w:r>
          </w:p>
        </w:tc>
        <w:tc>
          <w:tcPr>
            <w:tcW w:w="1260" w:type="dxa"/>
            <w:tcBorders>
              <w:top w:val="nil"/>
              <w:left w:val="nil"/>
              <w:bottom w:val="single" w:sz="4" w:space="0" w:color="auto"/>
              <w:right w:val="single" w:sz="4" w:space="0" w:color="auto"/>
            </w:tcBorders>
            <w:shd w:val="clear" w:color="000000" w:fill="E6B8B7"/>
            <w:noWrap/>
            <w:vAlign w:val="bottom"/>
          </w:tcPr>
          <w:p w14:paraId="34D6380D" w14:textId="77777777" w:rsidR="005843E8" w:rsidRDefault="005843E8" w:rsidP="00A332F3">
            <w:pPr>
              <w:jc w:val="center"/>
              <w:rPr>
                <w:rFonts w:ascii="Arial" w:hAnsi="Arial" w:cs="Arial"/>
                <w:sz w:val="20"/>
                <w:szCs w:val="20"/>
              </w:rPr>
            </w:pPr>
            <w:r>
              <w:rPr>
                <w:rFonts w:ascii="Arial" w:hAnsi="Arial" w:cs="Arial"/>
                <w:sz w:val="20"/>
                <w:szCs w:val="20"/>
              </w:rPr>
              <w:t>1.000</w:t>
            </w:r>
          </w:p>
        </w:tc>
        <w:tc>
          <w:tcPr>
            <w:tcW w:w="1890" w:type="dxa"/>
            <w:tcBorders>
              <w:top w:val="single" w:sz="4" w:space="0" w:color="auto"/>
              <w:left w:val="nil"/>
              <w:bottom w:val="single" w:sz="4" w:space="0" w:color="auto"/>
              <w:right w:val="single" w:sz="4" w:space="0" w:color="auto"/>
            </w:tcBorders>
            <w:shd w:val="clear" w:color="000000" w:fill="E6B8B7"/>
            <w:noWrap/>
            <w:vAlign w:val="bottom"/>
          </w:tcPr>
          <w:p w14:paraId="1931191A" w14:textId="77777777" w:rsidR="005843E8" w:rsidRDefault="005843E8" w:rsidP="00A332F3">
            <w:pPr>
              <w:jc w:val="center"/>
              <w:rPr>
                <w:rFonts w:ascii="Arial" w:hAnsi="Arial" w:cs="Arial"/>
                <w:sz w:val="20"/>
                <w:szCs w:val="20"/>
              </w:rPr>
            </w:pPr>
            <w:r>
              <w:rPr>
                <w:rFonts w:ascii="Arial" w:hAnsi="Arial" w:cs="Arial"/>
                <w:sz w:val="20"/>
                <w:szCs w:val="20"/>
              </w:rPr>
              <w:t>Detailed Risk Plan</w:t>
            </w:r>
          </w:p>
        </w:tc>
        <w:tc>
          <w:tcPr>
            <w:tcW w:w="2070" w:type="dxa"/>
            <w:tcBorders>
              <w:top w:val="single" w:sz="4" w:space="0" w:color="auto"/>
              <w:left w:val="nil"/>
              <w:bottom w:val="single" w:sz="4" w:space="0" w:color="auto"/>
              <w:right w:val="single" w:sz="4" w:space="0" w:color="auto"/>
            </w:tcBorders>
            <w:shd w:val="clear" w:color="000000" w:fill="E6B8B7"/>
            <w:vAlign w:val="bottom"/>
          </w:tcPr>
          <w:p w14:paraId="0B9CADC6" w14:textId="77777777" w:rsidR="005843E8" w:rsidRDefault="005843E8" w:rsidP="00A332F3">
            <w:pPr>
              <w:jc w:val="center"/>
              <w:rPr>
                <w:rFonts w:ascii="Arial" w:hAnsi="Arial" w:cs="Arial"/>
                <w:sz w:val="20"/>
                <w:szCs w:val="20"/>
              </w:rPr>
            </w:pPr>
            <w:r>
              <w:rPr>
                <w:rFonts w:ascii="Arial" w:hAnsi="Arial" w:cs="Arial"/>
                <w:sz w:val="20"/>
                <w:szCs w:val="20"/>
              </w:rPr>
              <w:t>Separate Document</w:t>
            </w:r>
          </w:p>
        </w:tc>
        <w:tc>
          <w:tcPr>
            <w:tcW w:w="2282" w:type="dxa"/>
            <w:tcBorders>
              <w:top w:val="single" w:sz="4" w:space="0" w:color="auto"/>
              <w:left w:val="nil"/>
              <w:bottom w:val="single" w:sz="4" w:space="0" w:color="auto"/>
              <w:right w:val="single" w:sz="4" w:space="0" w:color="auto"/>
            </w:tcBorders>
            <w:shd w:val="clear" w:color="000000" w:fill="E6B8B7"/>
            <w:vAlign w:val="bottom"/>
          </w:tcPr>
          <w:p w14:paraId="14C348AB" w14:textId="77777777" w:rsidR="005843E8" w:rsidRDefault="005843E8" w:rsidP="00A332F3">
            <w:pPr>
              <w:jc w:val="center"/>
              <w:rPr>
                <w:rFonts w:ascii="Arial" w:hAnsi="Arial" w:cs="Arial"/>
                <w:sz w:val="20"/>
                <w:szCs w:val="20"/>
              </w:rPr>
            </w:pPr>
            <w:r>
              <w:rPr>
                <w:rFonts w:ascii="Arial" w:hAnsi="Arial" w:cs="Arial"/>
                <w:sz w:val="20"/>
                <w:szCs w:val="20"/>
              </w:rPr>
              <w:t>At least monthly</w:t>
            </w:r>
          </w:p>
        </w:tc>
      </w:tr>
      <w:tr w:rsidR="00546E56" w14:paraId="0F4FC7F6" w14:textId="77777777" w:rsidTr="00E22A2E">
        <w:trPr>
          <w:trHeight w:val="255"/>
        </w:trPr>
        <w:tc>
          <w:tcPr>
            <w:tcW w:w="1265" w:type="dxa"/>
            <w:tcBorders>
              <w:top w:val="nil"/>
              <w:left w:val="single" w:sz="4" w:space="0" w:color="auto"/>
              <w:bottom w:val="single" w:sz="4" w:space="0" w:color="auto"/>
              <w:right w:val="single" w:sz="4" w:space="0" w:color="auto"/>
            </w:tcBorders>
            <w:shd w:val="clear" w:color="000000" w:fill="FFFF00"/>
            <w:noWrap/>
            <w:vAlign w:val="bottom"/>
          </w:tcPr>
          <w:p w14:paraId="5B0860CD" w14:textId="77777777" w:rsidR="005843E8" w:rsidRDefault="005843E8" w:rsidP="00A332F3">
            <w:pPr>
              <w:jc w:val="center"/>
              <w:rPr>
                <w:rFonts w:ascii="Arial" w:hAnsi="Arial" w:cs="Arial"/>
                <w:sz w:val="20"/>
                <w:szCs w:val="20"/>
              </w:rPr>
            </w:pPr>
            <w:r>
              <w:rPr>
                <w:rFonts w:ascii="Arial" w:hAnsi="Arial" w:cs="Arial"/>
                <w:sz w:val="20"/>
                <w:szCs w:val="20"/>
              </w:rPr>
              <w:t>2 - Medium</w:t>
            </w:r>
          </w:p>
        </w:tc>
        <w:tc>
          <w:tcPr>
            <w:tcW w:w="1170" w:type="dxa"/>
            <w:tcBorders>
              <w:top w:val="nil"/>
              <w:left w:val="nil"/>
              <w:bottom w:val="single" w:sz="4" w:space="0" w:color="auto"/>
              <w:right w:val="single" w:sz="4" w:space="0" w:color="auto"/>
            </w:tcBorders>
            <w:shd w:val="clear" w:color="000000" w:fill="FFFF00"/>
            <w:noWrap/>
            <w:vAlign w:val="bottom"/>
          </w:tcPr>
          <w:p w14:paraId="6B7691A1" w14:textId="77777777" w:rsidR="005843E8" w:rsidRDefault="005843E8" w:rsidP="00A332F3">
            <w:pPr>
              <w:jc w:val="center"/>
              <w:rPr>
                <w:rFonts w:ascii="Arial" w:hAnsi="Arial" w:cs="Arial"/>
                <w:sz w:val="20"/>
                <w:szCs w:val="20"/>
              </w:rPr>
            </w:pPr>
            <w:r>
              <w:rPr>
                <w:rFonts w:ascii="Arial" w:hAnsi="Arial" w:cs="Arial"/>
                <w:sz w:val="20"/>
                <w:szCs w:val="20"/>
              </w:rPr>
              <w:t>0.150</w:t>
            </w:r>
          </w:p>
        </w:tc>
        <w:tc>
          <w:tcPr>
            <w:tcW w:w="1260" w:type="dxa"/>
            <w:tcBorders>
              <w:top w:val="nil"/>
              <w:left w:val="nil"/>
              <w:bottom w:val="single" w:sz="4" w:space="0" w:color="auto"/>
              <w:right w:val="single" w:sz="4" w:space="0" w:color="auto"/>
            </w:tcBorders>
            <w:shd w:val="clear" w:color="000000" w:fill="FFFF00"/>
            <w:noWrap/>
            <w:vAlign w:val="bottom"/>
          </w:tcPr>
          <w:p w14:paraId="3EBDC2AD" w14:textId="77777777" w:rsidR="005843E8" w:rsidRDefault="005843E8" w:rsidP="00A332F3">
            <w:pPr>
              <w:jc w:val="center"/>
              <w:rPr>
                <w:rFonts w:ascii="Arial" w:hAnsi="Arial" w:cs="Arial"/>
                <w:sz w:val="20"/>
                <w:szCs w:val="20"/>
              </w:rPr>
            </w:pPr>
            <w:r>
              <w:rPr>
                <w:rFonts w:ascii="Arial" w:hAnsi="Arial" w:cs="Arial"/>
                <w:sz w:val="20"/>
                <w:szCs w:val="20"/>
              </w:rPr>
              <w:t>0.500</w:t>
            </w:r>
          </w:p>
        </w:tc>
        <w:tc>
          <w:tcPr>
            <w:tcW w:w="1890" w:type="dxa"/>
            <w:tcBorders>
              <w:top w:val="single" w:sz="4" w:space="0" w:color="auto"/>
              <w:left w:val="nil"/>
              <w:bottom w:val="single" w:sz="4" w:space="0" w:color="auto"/>
              <w:right w:val="single" w:sz="4" w:space="0" w:color="auto"/>
            </w:tcBorders>
            <w:shd w:val="clear" w:color="000000" w:fill="FFFF00"/>
            <w:noWrap/>
            <w:vAlign w:val="bottom"/>
          </w:tcPr>
          <w:p w14:paraId="10E243FD" w14:textId="77777777" w:rsidR="005843E8" w:rsidRDefault="005843E8" w:rsidP="00A332F3">
            <w:pPr>
              <w:jc w:val="center"/>
              <w:rPr>
                <w:rFonts w:ascii="Arial" w:hAnsi="Arial" w:cs="Arial"/>
                <w:sz w:val="20"/>
                <w:szCs w:val="20"/>
              </w:rPr>
            </w:pPr>
            <w:r>
              <w:rPr>
                <w:rFonts w:ascii="Arial" w:hAnsi="Arial" w:cs="Arial"/>
                <w:sz w:val="20"/>
                <w:szCs w:val="20"/>
              </w:rPr>
              <w:t>Modest Risk Plan</w:t>
            </w:r>
          </w:p>
        </w:tc>
        <w:tc>
          <w:tcPr>
            <w:tcW w:w="2070" w:type="dxa"/>
            <w:tcBorders>
              <w:top w:val="single" w:sz="4" w:space="0" w:color="auto"/>
              <w:left w:val="nil"/>
              <w:bottom w:val="single" w:sz="4" w:space="0" w:color="auto"/>
              <w:right w:val="single" w:sz="4" w:space="0" w:color="auto"/>
            </w:tcBorders>
            <w:shd w:val="clear" w:color="000000" w:fill="FFFF00"/>
            <w:vAlign w:val="bottom"/>
          </w:tcPr>
          <w:p w14:paraId="5356EBEB" w14:textId="77777777" w:rsidR="005843E8" w:rsidRDefault="005843E8" w:rsidP="00A332F3">
            <w:pPr>
              <w:jc w:val="center"/>
              <w:rPr>
                <w:rFonts w:ascii="Arial" w:hAnsi="Arial" w:cs="Arial"/>
                <w:sz w:val="20"/>
                <w:szCs w:val="20"/>
              </w:rPr>
            </w:pPr>
            <w:r>
              <w:rPr>
                <w:rFonts w:ascii="Arial" w:hAnsi="Arial" w:cs="Arial"/>
                <w:sz w:val="20"/>
                <w:szCs w:val="20"/>
              </w:rPr>
              <w:t>Risk Register</w:t>
            </w:r>
          </w:p>
        </w:tc>
        <w:tc>
          <w:tcPr>
            <w:tcW w:w="2282" w:type="dxa"/>
            <w:tcBorders>
              <w:top w:val="single" w:sz="4" w:space="0" w:color="auto"/>
              <w:left w:val="nil"/>
              <w:bottom w:val="single" w:sz="4" w:space="0" w:color="auto"/>
              <w:right w:val="single" w:sz="4" w:space="0" w:color="auto"/>
            </w:tcBorders>
            <w:shd w:val="clear" w:color="000000" w:fill="FFFF00"/>
            <w:vAlign w:val="bottom"/>
          </w:tcPr>
          <w:p w14:paraId="48A57A40" w14:textId="77777777" w:rsidR="005843E8" w:rsidRDefault="005843E8" w:rsidP="00A332F3">
            <w:pPr>
              <w:jc w:val="center"/>
              <w:rPr>
                <w:rFonts w:ascii="Arial" w:hAnsi="Arial" w:cs="Arial"/>
                <w:sz w:val="20"/>
                <w:szCs w:val="20"/>
              </w:rPr>
            </w:pPr>
            <w:r>
              <w:rPr>
                <w:rFonts w:ascii="Arial" w:hAnsi="Arial" w:cs="Arial"/>
                <w:sz w:val="20"/>
                <w:szCs w:val="20"/>
              </w:rPr>
              <w:t xml:space="preserve">At least </w:t>
            </w:r>
            <w:r w:rsidR="00BF4AB8">
              <w:rPr>
                <w:rFonts w:ascii="Arial" w:hAnsi="Arial" w:cs="Arial"/>
                <w:sz w:val="20"/>
                <w:szCs w:val="20"/>
              </w:rPr>
              <w:t>quarterly</w:t>
            </w:r>
          </w:p>
        </w:tc>
      </w:tr>
      <w:tr w:rsidR="00546E56" w14:paraId="76B41D5B" w14:textId="77777777" w:rsidTr="00E22A2E">
        <w:trPr>
          <w:trHeight w:val="255"/>
        </w:trPr>
        <w:tc>
          <w:tcPr>
            <w:tcW w:w="1265" w:type="dxa"/>
            <w:tcBorders>
              <w:top w:val="nil"/>
              <w:left w:val="single" w:sz="4" w:space="0" w:color="auto"/>
              <w:bottom w:val="single" w:sz="4" w:space="0" w:color="auto"/>
              <w:right w:val="single" w:sz="4" w:space="0" w:color="auto"/>
            </w:tcBorders>
            <w:shd w:val="clear" w:color="000000" w:fill="92D050"/>
            <w:noWrap/>
            <w:vAlign w:val="bottom"/>
          </w:tcPr>
          <w:p w14:paraId="02B6F2A0" w14:textId="77777777" w:rsidR="005843E8" w:rsidRDefault="005843E8" w:rsidP="00A332F3">
            <w:pPr>
              <w:jc w:val="center"/>
              <w:rPr>
                <w:rFonts w:ascii="Arial" w:hAnsi="Arial" w:cs="Arial"/>
                <w:sz w:val="20"/>
                <w:szCs w:val="20"/>
              </w:rPr>
            </w:pPr>
            <w:r>
              <w:rPr>
                <w:rFonts w:ascii="Arial" w:hAnsi="Arial" w:cs="Arial"/>
                <w:sz w:val="20"/>
                <w:szCs w:val="20"/>
              </w:rPr>
              <w:t>3 - Low</w:t>
            </w:r>
          </w:p>
        </w:tc>
        <w:tc>
          <w:tcPr>
            <w:tcW w:w="1170" w:type="dxa"/>
            <w:tcBorders>
              <w:top w:val="nil"/>
              <w:left w:val="nil"/>
              <w:bottom w:val="single" w:sz="4" w:space="0" w:color="auto"/>
              <w:right w:val="single" w:sz="4" w:space="0" w:color="auto"/>
            </w:tcBorders>
            <w:shd w:val="clear" w:color="000000" w:fill="92D050"/>
            <w:noWrap/>
            <w:vAlign w:val="bottom"/>
          </w:tcPr>
          <w:p w14:paraId="3F8697D3" w14:textId="77777777" w:rsidR="005843E8" w:rsidRDefault="005843E8" w:rsidP="00A332F3">
            <w:pPr>
              <w:jc w:val="center"/>
              <w:rPr>
                <w:rFonts w:ascii="Arial" w:hAnsi="Arial" w:cs="Arial"/>
                <w:sz w:val="20"/>
                <w:szCs w:val="20"/>
              </w:rPr>
            </w:pPr>
            <w:r>
              <w:rPr>
                <w:rFonts w:ascii="Arial" w:hAnsi="Arial" w:cs="Arial"/>
                <w:sz w:val="20"/>
                <w:szCs w:val="20"/>
              </w:rPr>
              <w:t>0.000</w:t>
            </w:r>
          </w:p>
        </w:tc>
        <w:tc>
          <w:tcPr>
            <w:tcW w:w="1260" w:type="dxa"/>
            <w:tcBorders>
              <w:top w:val="nil"/>
              <w:left w:val="nil"/>
              <w:bottom w:val="single" w:sz="4" w:space="0" w:color="auto"/>
              <w:right w:val="single" w:sz="4" w:space="0" w:color="auto"/>
            </w:tcBorders>
            <w:shd w:val="clear" w:color="000000" w:fill="92D050"/>
            <w:noWrap/>
            <w:vAlign w:val="bottom"/>
          </w:tcPr>
          <w:p w14:paraId="297B603C" w14:textId="77777777" w:rsidR="005843E8" w:rsidRDefault="005843E8" w:rsidP="00A332F3">
            <w:pPr>
              <w:jc w:val="center"/>
              <w:rPr>
                <w:rFonts w:ascii="Arial" w:hAnsi="Arial" w:cs="Arial"/>
                <w:sz w:val="20"/>
                <w:szCs w:val="20"/>
              </w:rPr>
            </w:pPr>
            <w:r>
              <w:rPr>
                <w:rFonts w:ascii="Arial" w:hAnsi="Arial" w:cs="Arial"/>
                <w:sz w:val="20"/>
                <w:szCs w:val="20"/>
              </w:rPr>
              <w:t>0.150</w:t>
            </w:r>
          </w:p>
        </w:tc>
        <w:tc>
          <w:tcPr>
            <w:tcW w:w="1890" w:type="dxa"/>
            <w:tcBorders>
              <w:top w:val="single" w:sz="4" w:space="0" w:color="auto"/>
              <w:left w:val="nil"/>
              <w:bottom w:val="single" w:sz="4" w:space="0" w:color="auto"/>
              <w:right w:val="single" w:sz="4" w:space="0" w:color="auto"/>
            </w:tcBorders>
            <w:shd w:val="clear" w:color="000000" w:fill="92D050"/>
            <w:noWrap/>
            <w:vAlign w:val="bottom"/>
          </w:tcPr>
          <w:p w14:paraId="7D279B76" w14:textId="77777777" w:rsidR="005843E8" w:rsidRDefault="005843E8" w:rsidP="00A332F3">
            <w:pPr>
              <w:jc w:val="center"/>
              <w:rPr>
                <w:rFonts w:ascii="Arial" w:hAnsi="Arial" w:cs="Arial"/>
                <w:sz w:val="20"/>
                <w:szCs w:val="20"/>
              </w:rPr>
            </w:pPr>
            <w:r>
              <w:rPr>
                <w:rFonts w:ascii="Arial" w:hAnsi="Arial" w:cs="Arial"/>
                <w:sz w:val="20"/>
                <w:szCs w:val="20"/>
              </w:rPr>
              <w:t>Minimal Risk Plan</w:t>
            </w:r>
          </w:p>
        </w:tc>
        <w:tc>
          <w:tcPr>
            <w:tcW w:w="2070" w:type="dxa"/>
            <w:tcBorders>
              <w:top w:val="single" w:sz="4" w:space="0" w:color="auto"/>
              <w:left w:val="nil"/>
              <w:bottom w:val="single" w:sz="4" w:space="0" w:color="auto"/>
              <w:right w:val="single" w:sz="4" w:space="0" w:color="auto"/>
            </w:tcBorders>
            <w:shd w:val="clear" w:color="000000" w:fill="92D050"/>
            <w:vAlign w:val="bottom"/>
          </w:tcPr>
          <w:p w14:paraId="7383EA83" w14:textId="77777777" w:rsidR="005843E8" w:rsidRDefault="005843E8" w:rsidP="00A332F3">
            <w:pPr>
              <w:jc w:val="center"/>
              <w:rPr>
                <w:rFonts w:ascii="Arial" w:hAnsi="Arial" w:cs="Arial"/>
                <w:sz w:val="20"/>
                <w:szCs w:val="20"/>
              </w:rPr>
            </w:pPr>
            <w:r>
              <w:rPr>
                <w:rFonts w:ascii="Arial" w:hAnsi="Arial" w:cs="Arial"/>
                <w:sz w:val="20"/>
                <w:szCs w:val="20"/>
              </w:rPr>
              <w:t>Risk Register</w:t>
            </w:r>
          </w:p>
        </w:tc>
        <w:tc>
          <w:tcPr>
            <w:tcW w:w="2282" w:type="dxa"/>
            <w:tcBorders>
              <w:top w:val="single" w:sz="4" w:space="0" w:color="auto"/>
              <w:left w:val="nil"/>
              <w:bottom w:val="single" w:sz="4" w:space="0" w:color="auto"/>
              <w:right w:val="single" w:sz="4" w:space="0" w:color="auto"/>
            </w:tcBorders>
            <w:shd w:val="clear" w:color="000000" w:fill="92D050"/>
            <w:vAlign w:val="bottom"/>
          </w:tcPr>
          <w:p w14:paraId="26C88C1E" w14:textId="77777777" w:rsidR="005843E8" w:rsidRDefault="005843E8" w:rsidP="00A332F3">
            <w:pPr>
              <w:jc w:val="center"/>
              <w:rPr>
                <w:rFonts w:ascii="Arial" w:hAnsi="Arial" w:cs="Arial"/>
                <w:sz w:val="20"/>
                <w:szCs w:val="20"/>
              </w:rPr>
            </w:pPr>
            <w:r>
              <w:rPr>
                <w:rFonts w:ascii="Arial" w:hAnsi="Arial" w:cs="Arial"/>
                <w:sz w:val="20"/>
                <w:szCs w:val="20"/>
              </w:rPr>
              <w:t>At least annually</w:t>
            </w:r>
          </w:p>
        </w:tc>
      </w:tr>
    </w:tbl>
    <w:p w14:paraId="76D730AE" w14:textId="77777777" w:rsidR="0042149C" w:rsidRDefault="0042149C" w:rsidP="00EB4627"/>
    <w:p w14:paraId="38737088" w14:textId="77777777" w:rsidR="00EB4627" w:rsidRDefault="00EB4627" w:rsidP="00640ED2">
      <w:pPr>
        <w:pStyle w:val="Heading1"/>
      </w:pPr>
      <w:bookmarkStart w:id="216" w:name="_Toc223248603"/>
      <w:bookmarkStart w:id="217" w:name="_Toc10621198"/>
      <w:r>
        <w:t>Risk Handling</w:t>
      </w:r>
      <w:bookmarkEnd w:id="216"/>
      <w:bookmarkEnd w:id="217"/>
    </w:p>
    <w:p w14:paraId="68039A62" w14:textId="77777777" w:rsidR="00FB5963" w:rsidRDefault="00EB4627" w:rsidP="00FB5963">
      <w:pPr>
        <w:jc w:val="both"/>
      </w:pPr>
      <w:r w:rsidRPr="000A0282">
        <w:t xml:space="preserve">The primary risk handling strategy is to avoid risks </w:t>
      </w:r>
      <w:r w:rsidR="00E52B9C">
        <w:t xml:space="preserve">where possible </w:t>
      </w:r>
      <w:r w:rsidRPr="000A0282">
        <w:t xml:space="preserve">by </w:t>
      </w:r>
      <w:r w:rsidR="001F336A">
        <w:t>developing sound plans based on reasonable</w:t>
      </w:r>
      <w:r w:rsidR="00E52B9C">
        <w:t xml:space="preserve"> </w:t>
      </w:r>
      <w:r w:rsidRPr="000A0282">
        <w:t xml:space="preserve">assumptions </w:t>
      </w:r>
      <w:r w:rsidR="00C96EAF" w:rsidRPr="000A0282">
        <w:t xml:space="preserve">and </w:t>
      </w:r>
      <w:r w:rsidR="000A0282" w:rsidRPr="000A0282">
        <w:t xml:space="preserve">then </w:t>
      </w:r>
      <w:r w:rsidRPr="000A0282">
        <w:t xml:space="preserve">validating those </w:t>
      </w:r>
      <w:r w:rsidR="000A0282" w:rsidRPr="000A0282">
        <w:t>assumptions with</w:t>
      </w:r>
      <w:r w:rsidRPr="000A0282">
        <w:t xml:space="preserve"> the </w:t>
      </w:r>
      <w:r w:rsidR="001F336A">
        <w:t xml:space="preserve">Executive Committee, </w:t>
      </w:r>
      <w:r w:rsidR="00E52B9C">
        <w:t>Scientific Program Committee</w:t>
      </w:r>
      <w:r w:rsidR="00DB7A59">
        <w:t>,</w:t>
      </w:r>
      <w:r w:rsidR="001F336A">
        <w:t xml:space="preserve"> and other </w:t>
      </w:r>
      <w:r w:rsidR="002B72DD">
        <w:t>technically qualified</w:t>
      </w:r>
      <w:r w:rsidR="001F336A">
        <w:t xml:space="preserve"> individuals</w:t>
      </w:r>
      <w:r w:rsidR="00E52B9C">
        <w:t xml:space="preserve">. </w:t>
      </w:r>
    </w:p>
    <w:p w14:paraId="3FB0EBD8" w14:textId="514BE7AC" w:rsidR="00BF0B85" w:rsidRPr="00BF0B85" w:rsidRDefault="002A5A91" w:rsidP="00FB5963">
      <w:pPr>
        <w:jc w:val="both"/>
      </w:pPr>
      <w:r>
        <w:t>LQCD</w:t>
      </w:r>
      <w:r w:rsidR="00BF0B85" w:rsidRPr="00BF0B85">
        <w:t xml:space="preserve"> </w:t>
      </w:r>
      <w:r w:rsidR="00E52B9C">
        <w:t xml:space="preserve">also </w:t>
      </w:r>
      <w:r w:rsidR="00BF0B85" w:rsidRPr="00BF0B85">
        <w:t>uses various risk minimization tools and techniques</w:t>
      </w:r>
      <w:r w:rsidR="00E52B9C">
        <w:t>, such as</w:t>
      </w:r>
      <w:r w:rsidR="00BF0B85" w:rsidRPr="00BF0B85">
        <w:t>:</w:t>
      </w:r>
    </w:p>
    <w:p w14:paraId="0154A087" w14:textId="77777777" w:rsidR="00BF0B85" w:rsidRPr="00BF0B85" w:rsidRDefault="00BF0B85" w:rsidP="00FB5963">
      <w:pPr>
        <w:pStyle w:val="Bullet"/>
        <w:numPr>
          <w:ilvl w:val="0"/>
          <w:numId w:val="43"/>
        </w:numPr>
      </w:pPr>
      <w:r w:rsidRPr="00BF0B85">
        <w:t>System and subsystem prototyping</w:t>
      </w:r>
    </w:p>
    <w:p w14:paraId="269F1377" w14:textId="77777777" w:rsidR="00BF0B85" w:rsidRPr="00BF0B85" w:rsidRDefault="00BF0B85" w:rsidP="00FB5963">
      <w:pPr>
        <w:pStyle w:val="Bullet"/>
        <w:numPr>
          <w:ilvl w:val="0"/>
          <w:numId w:val="43"/>
        </w:numPr>
      </w:pPr>
      <w:r w:rsidRPr="00BF0B85">
        <w:t>Benchmarking using modeling and simulation</w:t>
      </w:r>
    </w:p>
    <w:p w14:paraId="3FBA8D74" w14:textId="77777777" w:rsidR="00BF0B85" w:rsidRPr="00BF0B85" w:rsidRDefault="00BF0B85" w:rsidP="00FB5963">
      <w:pPr>
        <w:pStyle w:val="Bullet"/>
        <w:numPr>
          <w:ilvl w:val="0"/>
          <w:numId w:val="43"/>
        </w:numPr>
      </w:pPr>
      <w:r w:rsidRPr="00BF0B85">
        <w:t>Formal and informal technology assessments</w:t>
      </w:r>
    </w:p>
    <w:p w14:paraId="72D17C95" w14:textId="77777777" w:rsidR="00BF0B85" w:rsidRPr="00BF0B85" w:rsidRDefault="00BF0B85" w:rsidP="00FB5963">
      <w:pPr>
        <w:pStyle w:val="Bullet"/>
        <w:numPr>
          <w:ilvl w:val="0"/>
          <w:numId w:val="43"/>
        </w:numPr>
      </w:pPr>
      <w:r w:rsidRPr="00BF0B85">
        <w:t>Quality control and system validation</w:t>
      </w:r>
    </w:p>
    <w:p w14:paraId="69A555C4" w14:textId="77777777" w:rsidR="00BF0B85" w:rsidRPr="00BF0B85" w:rsidRDefault="00BF0B85" w:rsidP="00FB5963">
      <w:pPr>
        <w:pStyle w:val="Bullet"/>
        <w:numPr>
          <w:ilvl w:val="0"/>
          <w:numId w:val="43"/>
        </w:numPr>
      </w:pPr>
      <w:r w:rsidRPr="00BF0B85">
        <w:t>Alternative acquisition analysis</w:t>
      </w:r>
    </w:p>
    <w:p w14:paraId="06D820F0" w14:textId="77777777" w:rsidR="00BF0B85" w:rsidRPr="00BF0B85" w:rsidRDefault="00BF0B85" w:rsidP="00FB5963">
      <w:pPr>
        <w:pStyle w:val="Bullet"/>
        <w:numPr>
          <w:ilvl w:val="0"/>
          <w:numId w:val="43"/>
        </w:numPr>
      </w:pPr>
      <w:r w:rsidRPr="00BF0B85">
        <w:t>System and subsystem level risk assessments including prioritization</w:t>
      </w:r>
    </w:p>
    <w:p w14:paraId="2C745DC5" w14:textId="77777777" w:rsidR="00BF0B85" w:rsidRPr="00BF0B85" w:rsidRDefault="00BF0B85" w:rsidP="00FB5963">
      <w:pPr>
        <w:pStyle w:val="Bullet"/>
        <w:numPr>
          <w:ilvl w:val="0"/>
          <w:numId w:val="43"/>
        </w:numPr>
      </w:pPr>
      <w:r w:rsidRPr="00BF0B85">
        <w:t>Continuous monitoring of technical and financial performance measures</w:t>
      </w:r>
    </w:p>
    <w:p w14:paraId="073E2C75" w14:textId="77777777" w:rsidR="00BF0B85" w:rsidRDefault="00BF0B85" w:rsidP="00FB5963">
      <w:pPr>
        <w:pStyle w:val="Bullet"/>
        <w:numPr>
          <w:ilvl w:val="0"/>
          <w:numId w:val="43"/>
        </w:numPr>
      </w:pPr>
      <w:r w:rsidRPr="00BF0B85">
        <w:t xml:space="preserve">Establishing various surety measures including security and disaster recovery measures </w:t>
      </w:r>
    </w:p>
    <w:p w14:paraId="773C2877" w14:textId="29E7F40A" w:rsidR="002869BA" w:rsidRDefault="00E52B9C" w:rsidP="00FB5963">
      <w:pPr>
        <w:pStyle w:val="Bullet"/>
      </w:pPr>
      <w:r>
        <w:t xml:space="preserve">Risks </w:t>
      </w:r>
      <w:r w:rsidR="001F336A">
        <w:t xml:space="preserve">are </w:t>
      </w:r>
      <w:r>
        <w:t xml:space="preserve">categorized into one of five major “risk areas”: </w:t>
      </w:r>
      <w:r w:rsidR="00424845">
        <w:t xml:space="preserve">Technology, Cost </w:t>
      </w:r>
      <w:r w:rsidR="001F336A">
        <w:t>/</w:t>
      </w:r>
      <w:r w:rsidR="00424845">
        <w:t xml:space="preserve"> S</w:t>
      </w:r>
      <w:r w:rsidR="005637D5">
        <w:t>chedule</w:t>
      </w:r>
      <w:r>
        <w:t xml:space="preserve"> (following DOE guidelines)</w:t>
      </w:r>
      <w:r w:rsidR="00B2065C">
        <w:t>, Security (computer security and privacy issues), and Service (</w:t>
      </w:r>
      <w:r w:rsidR="00424845">
        <w:t xml:space="preserve">business/service </w:t>
      </w:r>
      <w:r w:rsidR="005637D5">
        <w:t>continuity</w:t>
      </w:r>
      <w:r w:rsidR="00B2065C">
        <w:t xml:space="preserve"> and disaster recovery issues)</w:t>
      </w:r>
      <w:bookmarkStart w:id="218" w:name="_Toc223248606"/>
      <w:r w:rsidR="00B2065C">
        <w:t xml:space="preserve">. </w:t>
      </w:r>
      <w:r w:rsidR="001F336A">
        <w:t xml:space="preserve"> </w:t>
      </w:r>
      <w:r w:rsidR="002869BA">
        <w:t>General mitigation strategies for each</w:t>
      </w:r>
      <w:r w:rsidR="005D6C54">
        <w:t xml:space="preserve"> major</w:t>
      </w:r>
      <w:r w:rsidR="002869BA">
        <w:t xml:space="preserve"> risk area are described below.</w:t>
      </w:r>
    </w:p>
    <w:p w14:paraId="59E964A0" w14:textId="77777777" w:rsidR="00640ED2" w:rsidRPr="00640ED2" w:rsidRDefault="00640ED2" w:rsidP="005637D5">
      <w:pPr>
        <w:pStyle w:val="Heading2"/>
      </w:pPr>
      <w:bookmarkStart w:id="219" w:name="_Toc10621199"/>
      <w:r w:rsidRPr="00640ED2">
        <w:t>Technology</w:t>
      </w:r>
      <w:r w:rsidR="005637D5">
        <w:t xml:space="preserve"> Risk Mitigation</w:t>
      </w:r>
      <w:bookmarkEnd w:id="219"/>
    </w:p>
    <w:p w14:paraId="5F6C1349" w14:textId="4CE34B39" w:rsidR="00861BC0" w:rsidRDefault="002869BA" w:rsidP="00861BC0">
      <w:pPr>
        <w:jc w:val="both"/>
      </w:pPr>
      <w:r>
        <w:t xml:space="preserve">The major technical concern for the </w:t>
      </w:r>
      <w:r w:rsidR="002A5A91">
        <w:t>LQCD</w:t>
      </w:r>
      <w:r>
        <w:t xml:space="preserve"> pro</w:t>
      </w:r>
      <w:r w:rsidR="001F336A">
        <w:t>gram</w:t>
      </w:r>
      <w:r>
        <w:t xml:space="preserve"> is the annual delivery of computing capabilities, expressed in Tflop/s-yrs. </w:t>
      </w:r>
      <w:r w:rsidR="0088508F">
        <w:t xml:space="preserve"> Prior to the beginning of the 5-year research program, the CPM develops a 5-year computing performance plan that defines the anticipated computing resources that will provided to the research program by each host laboratory.   During program execution, the CPM refines and updates the computing plan prior to the beginning of each fiscal year.  The CPM works with the EC and SPC to refine computing needs for the coming year, and with each host laboratory Site Manager to </w:t>
      </w:r>
      <w:r w:rsidR="00861BC0">
        <w:t xml:space="preserve">confirm computing resource availability. </w:t>
      </w:r>
      <w:r w:rsidR="0088508F">
        <w:t xml:space="preserve">  </w:t>
      </w:r>
      <w:r w:rsidR="00861BC0" w:rsidRPr="005C1879">
        <w:t xml:space="preserve">Consequently, LQCD can reliably predict </w:t>
      </w:r>
      <w:r w:rsidR="00861BC0" w:rsidRPr="005C1879">
        <w:lastRenderedPageBreak/>
        <w:t xml:space="preserve">prior to the beginning of any fiscal year the Tflop/s-yrs that will be delivered in the fiscal year.  This allows for detailed planning, by the Scientific Program Committee, of allocations to scientists for access to these computing resources. </w:t>
      </w:r>
    </w:p>
    <w:p w14:paraId="09F211DF" w14:textId="51BC1546" w:rsidR="00DF768A" w:rsidRDefault="00DF768A" w:rsidP="00795088">
      <w:pPr>
        <w:jc w:val="both"/>
      </w:pPr>
    </w:p>
    <w:p w14:paraId="683E9F22" w14:textId="27B17019" w:rsidR="00BC2DE0" w:rsidRDefault="00861BC0" w:rsidP="00795088">
      <w:pPr>
        <w:jc w:val="both"/>
      </w:pPr>
      <w:r>
        <w:t xml:space="preserve">In any given year, one or both host laboratories may decide to bring on additional computing capacity.  This may occur through the expansion of existing systems or the acquisition and deployment of a new system using a new technology.  </w:t>
      </w:r>
      <w:r w:rsidR="002869BA">
        <w:t xml:space="preserve">Since </w:t>
      </w:r>
      <w:r>
        <w:t>either scenario involves hardware acquisition planning, procurement and deployment, there are cost</w:t>
      </w:r>
      <w:r w:rsidR="00F94F5E">
        <w:t xml:space="preserve">, </w:t>
      </w:r>
      <w:r>
        <w:t>schedul</w:t>
      </w:r>
      <w:r w:rsidR="00F94F5E">
        <w:t xml:space="preserve">e and </w:t>
      </w:r>
      <w:r w:rsidR="00BC2DE0">
        <w:t>technical</w:t>
      </w:r>
      <w:r>
        <w:t xml:space="preserve"> risks associated with these activities.  Since LQCD and each host laboratory have extensive experience in the deployment of new systems, </w:t>
      </w:r>
      <w:r w:rsidR="00F94F5E">
        <w:t xml:space="preserve">cost and schedule </w:t>
      </w:r>
      <w:r w:rsidR="00BC2DE0">
        <w:t>overruns are</w:t>
      </w:r>
      <w:r w:rsidR="002869BA">
        <w:t xml:space="preserve"> of low to moderate probability with moderate impact.  </w:t>
      </w:r>
      <w:r w:rsidR="00BC2DE0">
        <w:t xml:space="preserve">Schedule estimates are based on publicized release dates (e.g., “roadmaps”) provided by manufactures for hardware components and the delivery dates given by the third-party vendors and integrators who are subcontracted for hardware purchases. Since LQCD must rely on state-of-the-art technologies to deliver the highest possible computing power within budget, it is often advantageous to wait for the most advanced technologies, for example, processor and switching technologies, promised by the manufacturer. However, if the manufacturer fails to </w:t>
      </w:r>
      <w:r w:rsidR="008C60CA">
        <w:t>deliver</w:t>
      </w:r>
      <w:r w:rsidR="00BC2DE0">
        <w:t xml:space="preserve"> on </w:t>
      </w:r>
      <w:r w:rsidR="008C60CA">
        <w:t xml:space="preserve">publicized </w:t>
      </w:r>
      <w:r w:rsidR="00BC2DE0">
        <w:t>dates, the schedule may slip, or the project may have to procure existing technology at lower performance.</w:t>
      </w:r>
      <w:r w:rsidR="00D23994">
        <w:t xml:space="preserve"> </w:t>
      </w:r>
    </w:p>
    <w:p w14:paraId="0EA326AF" w14:textId="77777777" w:rsidR="00BC2DE0" w:rsidRDefault="00BC2DE0" w:rsidP="00795088">
      <w:pPr>
        <w:jc w:val="both"/>
      </w:pPr>
    </w:p>
    <w:p w14:paraId="73457166" w14:textId="4981A63C" w:rsidR="002869BA" w:rsidRDefault="00861BC0" w:rsidP="00A332F3">
      <w:pPr>
        <w:jc w:val="both"/>
      </w:pPr>
      <w:r>
        <w:t>There is also a technical performance risk associated with new deployments</w:t>
      </w:r>
      <w:r w:rsidR="008C60CA">
        <w:t xml:space="preserve"> of advanced technologies</w:t>
      </w:r>
      <w:r>
        <w:t>, as it is possible that a new system will not deliver performance at expected levels. By t</w:t>
      </w:r>
      <w:r w:rsidR="002869BA" w:rsidRPr="00A332F3">
        <w:t>rack</w:t>
      </w:r>
      <w:r>
        <w:t>ing</w:t>
      </w:r>
      <w:r w:rsidR="002869BA" w:rsidRPr="00A332F3">
        <w:t xml:space="preserve"> and benchmark</w:t>
      </w:r>
      <w:r>
        <w:t>ing</w:t>
      </w:r>
      <w:r w:rsidR="002869BA" w:rsidRPr="00A332F3">
        <w:t xml:space="preserve"> new products available in the market</w:t>
      </w:r>
      <w:r w:rsidR="00BC2DE0">
        <w:t>, prior to executing an acquisition, technical risks are of low probability</w:t>
      </w:r>
      <w:r w:rsidR="002869BA" w:rsidRPr="00A332F3">
        <w:t>.</w:t>
      </w:r>
      <w:r w:rsidR="00BC2DE0">
        <w:t xml:space="preserve">  Moreover, impact is low to moderate as any new system will only be a fraction of the overall hardware portfolio.  Even if a new system does not quite meet performance expectations, the impact on overall computing delivered will be marginal.  </w:t>
      </w:r>
      <w:r w:rsidR="002869BA">
        <w:t xml:space="preserve"> </w:t>
      </w:r>
    </w:p>
    <w:p w14:paraId="4A1C4420" w14:textId="77777777" w:rsidR="00640ED2" w:rsidRDefault="002869BA" w:rsidP="005637D5">
      <w:pPr>
        <w:pStyle w:val="Heading2"/>
      </w:pPr>
      <w:bookmarkStart w:id="220" w:name="_Toc10621200"/>
      <w:r w:rsidRPr="00317B4F">
        <w:t>Cost</w:t>
      </w:r>
      <w:r w:rsidR="005637D5">
        <w:t xml:space="preserve"> Risk Mitigation</w:t>
      </w:r>
      <w:bookmarkEnd w:id="220"/>
    </w:p>
    <w:p w14:paraId="63355662" w14:textId="23EC6602" w:rsidR="00833957" w:rsidRDefault="002869BA" w:rsidP="00FB5963">
      <w:pPr>
        <w:pStyle w:val="Bullet"/>
      </w:pPr>
      <w:r>
        <w:t xml:space="preserve">Because </w:t>
      </w:r>
      <w:r w:rsidR="002A5A91">
        <w:t>LQCD</w:t>
      </w:r>
      <w:r>
        <w:t xml:space="preserve"> funding is directly a</w:t>
      </w:r>
      <w:r w:rsidR="00326CFD">
        <w:t xml:space="preserve">ffected by approval of the federal budget, </w:t>
      </w:r>
      <w:r>
        <w:t>there may delay</w:t>
      </w:r>
      <w:r w:rsidR="00326CFD">
        <w:t>s</w:t>
      </w:r>
      <w:r>
        <w:t xml:space="preserve"> in the availability of </w:t>
      </w:r>
      <w:r w:rsidR="005D6C54">
        <w:t>fund</w:t>
      </w:r>
      <w:r>
        <w:t xml:space="preserve">s </w:t>
      </w:r>
      <w:r w:rsidR="00326CFD">
        <w:t>due to factors such as Continuing Resolutions.  T</w:t>
      </w:r>
      <w:r>
        <w:t xml:space="preserve">o mitigate this risk, </w:t>
      </w:r>
      <w:r w:rsidR="00326CFD">
        <w:t xml:space="preserve">a portion of operating funds are set aside </w:t>
      </w:r>
      <w:r w:rsidR="00833957">
        <w:t xml:space="preserve">and carried forward </w:t>
      </w:r>
      <w:r w:rsidR="00326CFD">
        <w:t>to cover one month of operations</w:t>
      </w:r>
      <w:r w:rsidR="00833957">
        <w:t xml:space="preserve"> at the beginning of a fiscal year.  </w:t>
      </w:r>
    </w:p>
    <w:p w14:paraId="32539562" w14:textId="2F85FD08" w:rsidR="00326CFD" w:rsidRDefault="00833957" w:rsidP="00FB5963">
      <w:pPr>
        <w:pStyle w:val="Bullet"/>
      </w:pPr>
      <w:r>
        <w:t xml:space="preserve">Memoranda of Understanding (MOUs) are established between the LQCD and each host laboratory prior to the start of each fiscal year.  Documented in each MOU are the agreed-upon costs for specified levels of delivered computing and storage resources, as well as a modest level of funding for Site Manager support.  Costs are tracked through the year and corrective actions </w:t>
      </w:r>
      <w:r w:rsidR="008C4D30">
        <w:t xml:space="preserve">are </w:t>
      </w:r>
      <w:r>
        <w:t xml:space="preserve">taken </w:t>
      </w:r>
      <w:r w:rsidR="008C4D30">
        <w:t>as</w:t>
      </w:r>
      <w:r>
        <w:t xml:space="preserve"> </w:t>
      </w:r>
      <w:r w:rsidR="008C4D30">
        <w:t>necessary</w:t>
      </w:r>
      <w:r>
        <w:t xml:space="preserve"> to prevent cost overruns.      </w:t>
      </w:r>
    </w:p>
    <w:p w14:paraId="5873C706" w14:textId="427AD7EC" w:rsidR="002869BA" w:rsidRDefault="002869BA" w:rsidP="00FB5963">
      <w:pPr>
        <w:pStyle w:val="Bullet"/>
      </w:pPr>
      <w:r>
        <w:t xml:space="preserve">Staffing issues may also affect the project cost. Since only a small number of technical staff members are </w:t>
      </w:r>
      <w:r w:rsidR="009A1FD0">
        <w:t xml:space="preserve">directly </w:t>
      </w:r>
      <w:r>
        <w:t xml:space="preserve">associated with </w:t>
      </w:r>
      <w:r w:rsidR="002A5A91">
        <w:t>LQCD</w:t>
      </w:r>
      <w:r>
        <w:t xml:space="preserve">, there is a low </w:t>
      </w:r>
      <w:r w:rsidR="001F231F">
        <w:t xml:space="preserve">to moderate </w:t>
      </w:r>
      <w:r>
        <w:t xml:space="preserve">probability of risk associated with the loss of key project members. </w:t>
      </w:r>
      <w:r w:rsidR="009A1FD0">
        <w:t xml:space="preserve"> </w:t>
      </w:r>
      <w:r>
        <w:t xml:space="preserve">However, the impact of the loss </w:t>
      </w:r>
      <w:r w:rsidR="00501EE4">
        <w:t>of</w:t>
      </w:r>
      <w:r>
        <w:t xml:space="preserve"> key personnel can be high in terms of full release of new computing systems to the scientific community and annual technical delivery.  To mitigate this risk, as much as practical, </w:t>
      </w:r>
      <w:r w:rsidR="002A5A91">
        <w:t>LQCD</w:t>
      </w:r>
      <w:r w:rsidR="009A1FD0">
        <w:t xml:space="preserve"> </w:t>
      </w:r>
      <w:r>
        <w:t xml:space="preserve">staff members at two or more of the host sites participate in the prototyping, planning, and execution of each major system acquisition. Cross-training of system administration duties is encouraged whenever possible. This ensures that </w:t>
      </w:r>
      <w:r w:rsidR="002A5A91">
        <w:t>LQCD</w:t>
      </w:r>
      <w:r>
        <w:t xml:space="preserve"> maintains </w:t>
      </w:r>
      <w:r w:rsidR="009A1FD0">
        <w:t xml:space="preserve">historical knowledge and technical </w:t>
      </w:r>
      <w:r>
        <w:t>expertise in at least several individuals.</w:t>
      </w:r>
    </w:p>
    <w:p w14:paraId="6CA713B5" w14:textId="77777777" w:rsidR="00640ED2" w:rsidRPr="00640ED2" w:rsidRDefault="002869BA" w:rsidP="005637D5">
      <w:pPr>
        <w:pStyle w:val="Heading2"/>
      </w:pPr>
      <w:bookmarkStart w:id="221" w:name="_Toc10621201"/>
      <w:r w:rsidRPr="00640ED2">
        <w:lastRenderedPageBreak/>
        <w:t>Schedule</w:t>
      </w:r>
      <w:r w:rsidR="005637D5">
        <w:t xml:space="preserve"> Risk Mitigation</w:t>
      </w:r>
      <w:bookmarkEnd w:id="221"/>
    </w:p>
    <w:p w14:paraId="60AC017C" w14:textId="08208D6F" w:rsidR="002869BA" w:rsidRDefault="002869BA" w:rsidP="00FB5963">
      <w:pPr>
        <w:pStyle w:val="Bullet"/>
      </w:pPr>
      <w:r>
        <w:t>Schedule risk is tied to technology and</w:t>
      </w:r>
      <w:r w:rsidR="005D6C54">
        <w:t xml:space="preserve"> </w:t>
      </w:r>
      <w:r>
        <w:t>cost risks</w:t>
      </w:r>
      <w:r w:rsidR="001F231F">
        <w:t>, as previously discussed</w:t>
      </w:r>
      <w:r>
        <w:t xml:space="preserve">. If </w:t>
      </w:r>
      <w:r w:rsidR="005D6C54">
        <w:t>hardware availability</w:t>
      </w:r>
      <w:r>
        <w:t xml:space="preserve"> does not keep up </w:t>
      </w:r>
      <w:r w:rsidR="002B72DD">
        <w:t>with technology</w:t>
      </w:r>
      <w:r>
        <w:t xml:space="preserve"> roadmap</w:t>
      </w:r>
      <w:r w:rsidR="005D6C54">
        <w:t>s</w:t>
      </w:r>
      <w:r>
        <w:t xml:space="preserve"> or if cost becomes higher than </w:t>
      </w:r>
      <w:r w:rsidR="002477DA">
        <w:t>forecast</w:t>
      </w:r>
      <w:r>
        <w:t xml:space="preserve">, the </w:t>
      </w:r>
      <w:r w:rsidR="002477DA">
        <w:t xml:space="preserve">ability to deliver projected computing cycles will be </w:t>
      </w:r>
      <w:r>
        <w:t>affected. The general risk mitigation strateg</w:t>
      </w:r>
      <w:r w:rsidR="002477DA">
        <w:t>ies</w:t>
      </w:r>
      <w:r>
        <w:t xml:space="preserve"> in this area consists of </w:t>
      </w:r>
      <w:r w:rsidR="002477DA">
        <w:t xml:space="preserve">1) staying abreast of technical advances and timing of new releases; and 2) </w:t>
      </w:r>
      <w:r>
        <w:t xml:space="preserve">optimizing the </w:t>
      </w:r>
      <w:r w:rsidR="002477DA">
        <w:t xml:space="preserve">timing of </w:t>
      </w:r>
      <w:r>
        <w:t xml:space="preserve">annual procurements, from </w:t>
      </w:r>
      <w:r w:rsidR="002477DA">
        <w:t xml:space="preserve">both a </w:t>
      </w:r>
      <w:r>
        <w:t>cost and schedule p</w:t>
      </w:r>
      <w:r w:rsidR="002477DA">
        <w:t>erspective,</w:t>
      </w:r>
      <w:r>
        <w:t xml:space="preserve"> to deliver the most T</w:t>
      </w:r>
      <w:r w:rsidR="002477DA">
        <w:t>f</w:t>
      </w:r>
      <w:r>
        <w:t>lop</w:t>
      </w:r>
      <w:r w:rsidR="005B567C">
        <w:t>/</w:t>
      </w:r>
      <w:r>
        <w:t>s-yrs</w:t>
      </w:r>
      <w:r w:rsidR="002477DA">
        <w:t xml:space="preserve"> possible from all available resources at hand</w:t>
      </w:r>
      <w:r>
        <w:t>.</w:t>
      </w:r>
    </w:p>
    <w:p w14:paraId="41C1E044" w14:textId="77777777" w:rsidR="00640ED2" w:rsidRDefault="00BF0B85" w:rsidP="005637D5">
      <w:pPr>
        <w:pStyle w:val="Heading2"/>
      </w:pPr>
      <w:bookmarkStart w:id="222" w:name="_Toc10621202"/>
      <w:r>
        <w:t>Security</w:t>
      </w:r>
      <w:r w:rsidR="005637D5">
        <w:t xml:space="preserve"> Risk Mitigation</w:t>
      </w:r>
      <w:bookmarkEnd w:id="222"/>
    </w:p>
    <w:p w14:paraId="42B1BB5D" w14:textId="0B49C399" w:rsidR="005637D5" w:rsidRDefault="005637D5" w:rsidP="00795088">
      <w:pPr>
        <w:jc w:val="both"/>
      </w:pPr>
      <w:r>
        <w:t>Security management of the computing facilit</w:t>
      </w:r>
      <w:r w:rsidR="002477DA">
        <w:t>ies</w:t>
      </w:r>
      <w:r>
        <w:t xml:space="preserve"> hosted by each laboratory is administered by the physical and cyber-security infrastructure established by that laboratory. The </w:t>
      </w:r>
      <w:r w:rsidR="002A5A91">
        <w:t>LQCD-ext I</w:t>
      </w:r>
      <w:r w:rsidR="00F50E2E">
        <w:t>I</w:t>
      </w:r>
      <w:r w:rsidR="002A5A91">
        <w:t>I</w:t>
      </w:r>
      <w:r>
        <w:t xml:space="preserve"> Security Plan for a set of computing equipment within an enclave is updated and approved whenever any new equipment is added to </w:t>
      </w:r>
      <w:r w:rsidR="004A6779">
        <w:t>an</w:t>
      </w:r>
      <w:r>
        <w:t xml:space="preserve"> enclave. Each laboratory</w:t>
      </w:r>
      <w:r w:rsidR="004A6779">
        <w:t xml:space="preserve"> </w:t>
      </w:r>
      <w:r>
        <w:t>keep</w:t>
      </w:r>
      <w:r w:rsidR="004A6779">
        <w:t>s</w:t>
      </w:r>
      <w:r>
        <w:t xml:space="preserve"> its Certification and Accreditation (C&amp;A) documents </w:t>
      </w:r>
      <w:r w:rsidR="00F50E2E">
        <w:t>up to date</w:t>
      </w:r>
      <w:r>
        <w:t xml:space="preserve">. The hosting laboratory also performs required scans and other monitoring and assessments. Since </w:t>
      </w:r>
      <w:r w:rsidR="002477DA">
        <w:t xml:space="preserve">LQCD </w:t>
      </w:r>
      <w:r>
        <w:t>computing facilit</w:t>
      </w:r>
      <w:r w:rsidR="002477DA">
        <w:t>ies comprise</w:t>
      </w:r>
      <w:r>
        <w:t xml:space="preserve"> special purpose equipment </w:t>
      </w:r>
      <w:r w:rsidR="002477DA">
        <w:t xml:space="preserve">protected by strong security system protocols, </w:t>
      </w:r>
      <w:r>
        <w:t>ex</w:t>
      </w:r>
      <w:r w:rsidR="007E0B4A">
        <w:t xml:space="preserve">ternal access </w:t>
      </w:r>
      <w:r w:rsidR="002477DA">
        <w:t xml:space="preserve">by unauthorized users is unlikely. </w:t>
      </w:r>
      <w:r>
        <w:t xml:space="preserve">No private, personal or otherwise, information may be retained on </w:t>
      </w:r>
      <w:r w:rsidR="002A5A91">
        <w:t>LQCD</w:t>
      </w:r>
      <w:r>
        <w:t xml:space="preserve"> computer facilities.</w:t>
      </w:r>
    </w:p>
    <w:p w14:paraId="376DC630" w14:textId="77777777" w:rsidR="00BF0B85" w:rsidRDefault="00BF0B85" w:rsidP="005637D5">
      <w:pPr>
        <w:pStyle w:val="Heading2"/>
      </w:pPr>
      <w:bookmarkStart w:id="223" w:name="_Toc10621203"/>
      <w:r>
        <w:t xml:space="preserve">Service </w:t>
      </w:r>
      <w:r w:rsidR="005637D5">
        <w:t>Risk Mitigation</w:t>
      </w:r>
      <w:bookmarkEnd w:id="223"/>
    </w:p>
    <w:p w14:paraId="0B318C9E" w14:textId="5DA59057" w:rsidR="004775EC" w:rsidRDefault="005637D5" w:rsidP="00B2065C">
      <w:pPr>
        <w:jc w:val="both"/>
      </w:pPr>
      <w:r>
        <w:t>Since delivering</w:t>
      </w:r>
      <w:r w:rsidR="004775EC">
        <w:t xml:space="preserve"> high performance computing</w:t>
      </w:r>
      <w:r>
        <w:t xml:space="preserve"> to the USQCD user community is </w:t>
      </w:r>
      <w:r w:rsidR="004A6779">
        <w:t xml:space="preserve">a </w:t>
      </w:r>
      <w:r>
        <w:t xml:space="preserve">critical objective of this </w:t>
      </w:r>
      <w:r w:rsidR="004A6779">
        <w:t>program</w:t>
      </w:r>
      <w:r>
        <w:t xml:space="preserve">, </w:t>
      </w:r>
      <w:r w:rsidR="002A5A91">
        <w:t>LQCD</w:t>
      </w:r>
      <w:r>
        <w:t xml:space="preserve"> </w:t>
      </w:r>
      <w:r w:rsidR="004775EC">
        <w:t>h</w:t>
      </w:r>
      <w:r>
        <w:t xml:space="preserve">as </w:t>
      </w:r>
      <w:r w:rsidRPr="0068645E">
        <w:t xml:space="preserve">considered disaster recovery planning from </w:t>
      </w:r>
      <w:r w:rsidR="004A6779">
        <w:t>its inception</w:t>
      </w:r>
      <w:r w:rsidRPr="0068645E">
        <w:t xml:space="preserve">. </w:t>
      </w:r>
      <w:r w:rsidR="004775EC">
        <w:t xml:space="preserve"> </w:t>
      </w:r>
      <w:r w:rsidR="002A5A91">
        <w:t>LQCD</w:t>
      </w:r>
      <w:r w:rsidR="004E090D">
        <w:t xml:space="preserve"> </w:t>
      </w:r>
      <w:r w:rsidRPr="0068645E">
        <w:t xml:space="preserve">takes advantage of the institutional disaster recovery plans for the computing centers at each of its </w:t>
      </w:r>
      <w:r w:rsidR="004775EC">
        <w:t>host l</w:t>
      </w:r>
      <w:r w:rsidRPr="0068645E">
        <w:t>aboratory sites. These plans are reviewed periodically.</w:t>
      </w:r>
    </w:p>
    <w:p w14:paraId="7482783B" w14:textId="77777777" w:rsidR="004775EC" w:rsidRDefault="004775EC" w:rsidP="00B2065C">
      <w:pPr>
        <w:jc w:val="both"/>
      </w:pPr>
    </w:p>
    <w:p w14:paraId="0F353758" w14:textId="0D922338" w:rsidR="004775EC" w:rsidRDefault="0068645E" w:rsidP="00B2065C">
      <w:pPr>
        <w:jc w:val="both"/>
      </w:pPr>
      <w:r w:rsidRPr="0068645E">
        <w:rPr>
          <w:rStyle w:val="apple-style-span"/>
        </w:rPr>
        <w:t xml:space="preserve">The most valuable data products produced are the vacuum gauge configuration data files, which may require in aggregate many </w:t>
      </w:r>
      <w:r w:rsidR="004E090D">
        <w:rPr>
          <w:rStyle w:val="apple-style-span"/>
        </w:rPr>
        <w:t>Tf</w:t>
      </w:r>
      <w:r w:rsidRPr="0068645E">
        <w:rPr>
          <w:rStyle w:val="apple-style-span"/>
        </w:rPr>
        <w:t>lop/s-</w:t>
      </w:r>
      <w:r w:rsidR="002B72DD" w:rsidRPr="0068645E">
        <w:rPr>
          <w:rStyle w:val="apple-style-span"/>
        </w:rPr>
        <w:t>yrs.</w:t>
      </w:r>
      <w:r w:rsidRPr="0068645E">
        <w:rPr>
          <w:rStyle w:val="apple-style-span"/>
        </w:rPr>
        <w:t xml:space="preserve"> of computing.  These files are stored redundantly at multiple locations, including two or more of FNAL, </w:t>
      </w:r>
      <w:r w:rsidR="008C4D30">
        <w:rPr>
          <w:rStyle w:val="apple-style-span"/>
        </w:rPr>
        <w:t>TJNAF</w:t>
      </w:r>
      <w:r w:rsidRPr="0068645E">
        <w:rPr>
          <w:rStyle w:val="apple-style-span"/>
        </w:rPr>
        <w:t xml:space="preserve">, BNL, NERSC, TACC, ORNL, the ALCF, and LLNL. The principal investigator for each computational project executed on </w:t>
      </w:r>
      <w:r w:rsidR="002A5A91">
        <w:rPr>
          <w:rStyle w:val="apple-style-span"/>
        </w:rPr>
        <w:t>LQCD</w:t>
      </w:r>
      <w:r w:rsidRPr="0068645E">
        <w:rPr>
          <w:rStyle w:val="apple-style-span"/>
        </w:rPr>
        <w:t xml:space="preserve"> </w:t>
      </w:r>
      <w:r w:rsidR="004775EC">
        <w:rPr>
          <w:rStyle w:val="apple-style-span"/>
        </w:rPr>
        <w:t xml:space="preserve">resources </w:t>
      </w:r>
      <w:r w:rsidRPr="0068645E">
        <w:rPr>
          <w:rStyle w:val="apple-style-span"/>
        </w:rPr>
        <w:t>is responsible for safeguarding the data products produced by his or her scientific project.</w:t>
      </w:r>
      <w:r w:rsidR="005637D5" w:rsidRPr="0068645E">
        <w:t xml:space="preserve"> </w:t>
      </w:r>
    </w:p>
    <w:p w14:paraId="611129EE" w14:textId="77777777" w:rsidR="004775EC" w:rsidRDefault="004775EC" w:rsidP="00B2065C">
      <w:pPr>
        <w:jc w:val="both"/>
      </w:pPr>
    </w:p>
    <w:p w14:paraId="0958EC64" w14:textId="286A7BF4" w:rsidR="00EB4627" w:rsidRDefault="004775EC" w:rsidP="00B2065C">
      <w:pPr>
        <w:jc w:val="both"/>
      </w:pPr>
      <w:r>
        <w:t>Following</w:t>
      </w:r>
      <w:r w:rsidR="005637D5" w:rsidRPr="0068645E">
        <w:t xml:space="preserve"> standard government policy, the equipment at each facility</w:t>
      </w:r>
      <w:r w:rsidR="004A6779">
        <w:t xml:space="preserve"> is</w:t>
      </w:r>
      <w:r w:rsidR="005637D5" w:rsidRPr="0068645E">
        <w:t xml:space="preserve"> not</w:t>
      </w:r>
      <w:r w:rsidR="004A6779">
        <w:t xml:space="preserve"> </w:t>
      </w:r>
      <w:r w:rsidR="005637D5" w:rsidRPr="0068645E">
        <w:t>insured against disasters, though the standard safety protections provided by each laboratory assure as much as possible the protection of the equipment.  The distributed nature of the meta-facility partially mitigates the risk</w:t>
      </w:r>
      <w:r w:rsidR="005637D5">
        <w:t xml:space="preserve"> of natural disasters, allowing for critical scientific calculations to be moved from one host site to another in the event of a sustained outage.</w:t>
      </w:r>
      <w:bookmarkEnd w:id="218"/>
    </w:p>
    <w:p w14:paraId="337180B6" w14:textId="77777777" w:rsidR="00B2065C" w:rsidRDefault="00B2065C" w:rsidP="00B2065C">
      <w:pPr>
        <w:jc w:val="both"/>
      </w:pPr>
    </w:p>
    <w:p w14:paraId="24638B6E" w14:textId="77777777" w:rsidR="002869BA" w:rsidRDefault="00EB4627" w:rsidP="00640ED2">
      <w:pPr>
        <w:pStyle w:val="Heading1"/>
      </w:pPr>
      <w:bookmarkStart w:id="224" w:name="_Toc223513582"/>
      <w:bookmarkStart w:id="225" w:name="_Toc223248608"/>
      <w:bookmarkStart w:id="226" w:name="_Toc10621204"/>
      <w:bookmarkEnd w:id="224"/>
      <w:r>
        <w:t>Risk Monitoring</w:t>
      </w:r>
      <w:bookmarkEnd w:id="225"/>
      <w:bookmarkEnd w:id="226"/>
    </w:p>
    <w:p w14:paraId="19E8AF1D" w14:textId="77D8A0DA" w:rsidR="005843E8" w:rsidRDefault="002869BA" w:rsidP="00E52B9C">
      <w:pPr>
        <w:autoSpaceDE w:val="0"/>
        <w:autoSpaceDN w:val="0"/>
        <w:adjustRightInd w:val="0"/>
        <w:jc w:val="both"/>
      </w:pPr>
      <w:r>
        <w:t>The Risk Register is rev</w:t>
      </w:r>
      <w:r w:rsidR="00E52B9C">
        <w:t xml:space="preserve">iewed and updated whenever a new risk is identified, a risk </w:t>
      </w:r>
      <w:r w:rsidR="00940A85">
        <w:t xml:space="preserve">is determined to </w:t>
      </w:r>
      <w:r w:rsidR="00E52B9C">
        <w:t>no longer affect the project, or a change in the environme</w:t>
      </w:r>
      <w:r w:rsidR="00940A85">
        <w:t>nt is detected tha</w:t>
      </w:r>
      <w:r w:rsidR="005D6C54">
        <w:t>t</w:t>
      </w:r>
      <w:r w:rsidR="00940A85">
        <w:t xml:space="preserve"> may affect </w:t>
      </w:r>
      <w:r w:rsidR="00E52B9C">
        <w:t>existing risk</w:t>
      </w:r>
      <w:r w:rsidR="00940A85">
        <w:t>s</w:t>
      </w:r>
      <w:r w:rsidR="00E52B9C">
        <w:t xml:space="preserve"> </w:t>
      </w:r>
      <w:r w:rsidR="00940A85">
        <w:t xml:space="preserve">or </w:t>
      </w:r>
      <w:r w:rsidR="00E52B9C">
        <w:t>risk plan</w:t>
      </w:r>
      <w:r w:rsidR="00940A85">
        <w:t>s</w:t>
      </w:r>
      <w:r w:rsidR="00E52B9C">
        <w:t xml:space="preserve">. In steady state, </w:t>
      </w:r>
      <w:r w:rsidR="00940A85">
        <w:t xml:space="preserve">absent such changes, </w:t>
      </w:r>
      <w:r w:rsidR="00E52B9C">
        <w:t>a</w:t>
      </w:r>
      <w:r w:rsidR="005843E8">
        <w:t xml:space="preserve"> graded approach </w:t>
      </w:r>
      <w:r w:rsidR="001574C9">
        <w:t>is</w:t>
      </w:r>
      <w:r w:rsidR="005843E8">
        <w:t xml:space="preserve"> used for risk monitoring based on </w:t>
      </w:r>
      <w:r w:rsidR="00E52B9C">
        <w:t xml:space="preserve">the </w:t>
      </w:r>
      <w:r w:rsidR="005843E8">
        <w:t>risk priorit</w:t>
      </w:r>
      <w:r w:rsidR="00E52B9C">
        <w:t>ies</w:t>
      </w:r>
      <w:r w:rsidR="005843E8">
        <w:t xml:space="preserve"> </w:t>
      </w:r>
      <w:r w:rsidR="005D6C54">
        <w:t xml:space="preserve">and schedules presented in </w:t>
      </w:r>
      <w:r w:rsidR="005843E8">
        <w:t>Table 3.</w:t>
      </w:r>
    </w:p>
    <w:p w14:paraId="0E92AF33" w14:textId="77777777" w:rsidR="005843E8" w:rsidRDefault="005843E8" w:rsidP="005843E8">
      <w:pPr>
        <w:autoSpaceDE w:val="0"/>
        <w:autoSpaceDN w:val="0"/>
        <w:adjustRightInd w:val="0"/>
        <w:jc w:val="both"/>
      </w:pPr>
    </w:p>
    <w:p w14:paraId="2C57EBD4" w14:textId="27ACEC6D" w:rsidR="000A0282" w:rsidRDefault="000A0282" w:rsidP="005843E8">
      <w:pPr>
        <w:autoSpaceDE w:val="0"/>
        <w:autoSpaceDN w:val="0"/>
        <w:adjustRightInd w:val="0"/>
        <w:jc w:val="both"/>
      </w:pPr>
      <w:r>
        <w:t xml:space="preserve">Risks assigned a “1 – High” priority receive the most attention in risk planning. They </w:t>
      </w:r>
      <w:r w:rsidR="005D6C54">
        <w:t>are</w:t>
      </w:r>
      <w:r>
        <w:t xml:space="preserve"> reviewed at least monthly and when</w:t>
      </w:r>
      <w:r w:rsidR="005843E8">
        <w:t>ever</w:t>
      </w:r>
      <w:r>
        <w:t xml:space="preserve"> the IPT believes there is a need to review the risk</w:t>
      </w:r>
      <w:r w:rsidR="00BF4AB8">
        <w:t xml:space="preserve">, as tracked in the Next </w:t>
      </w:r>
      <w:r w:rsidR="00BF4AB8">
        <w:lastRenderedPageBreak/>
        <w:t>Review Date field</w:t>
      </w:r>
      <w:r>
        <w:t xml:space="preserve">. They will have a detailed risk plan developed and maintained in a separate document outside </w:t>
      </w:r>
      <w:r w:rsidR="00BE3F49">
        <w:t xml:space="preserve">of </w:t>
      </w:r>
      <w:r>
        <w:t>the Risk Register</w:t>
      </w:r>
      <w:r w:rsidR="00BE3F49">
        <w:t xml:space="preserve"> (</w:t>
      </w:r>
      <w:r w:rsidR="00DA56E3">
        <w:t xml:space="preserve">a </w:t>
      </w:r>
      <w:r w:rsidR="00BE3F49">
        <w:t>document reference is stored in the Risk Register)</w:t>
      </w:r>
      <w:r>
        <w:t>.</w:t>
      </w:r>
    </w:p>
    <w:p w14:paraId="43FEF59D" w14:textId="77777777" w:rsidR="005843E8" w:rsidRDefault="005843E8" w:rsidP="005843E8"/>
    <w:p w14:paraId="27215A75" w14:textId="7D41411E" w:rsidR="000A0282" w:rsidRDefault="000A0282" w:rsidP="005843E8">
      <w:r>
        <w:t xml:space="preserve">Risks assigned a “2 – Medium” priority will receive moderate attention in risk planning. They will be reviewed </w:t>
      </w:r>
      <w:r w:rsidR="005843E8">
        <w:t>at least</w:t>
      </w:r>
      <w:r w:rsidR="00BF4AB8">
        <w:t xml:space="preserve"> quarterly</w:t>
      </w:r>
      <w:r>
        <w:t>, and when</w:t>
      </w:r>
      <w:r w:rsidR="005843E8">
        <w:t>ever</w:t>
      </w:r>
      <w:r>
        <w:t xml:space="preserve"> the IPT believes there is a need to review the risk</w:t>
      </w:r>
      <w:r w:rsidR="00BF4AB8">
        <w:t xml:space="preserve">, as tracked in the Next Review Date </w:t>
      </w:r>
      <w:r w:rsidR="00F50E2E">
        <w:t>field</w:t>
      </w:r>
      <w:r w:rsidR="00F50E2E" w:rsidDel="00BF4AB8">
        <w:t>.</w:t>
      </w:r>
      <w:r>
        <w:t xml:space="preserve"> They will have modest risk plans which will be captured in the narrative fields of the Risk Register.</w:t>
      </w:r>
    </w:p>
    <w:p w14:paraId="45980CDA" w14:textId="77777777" w:rsidR="005843E8" w:rsidRDefault="005843E8" w:rsidP="005843E8"/>
    <w:p w14:paraId="7531D292" w14:textId="72329209" w:rsidR="000A0282" w:rsidRDefault="000A0282" w:rsidP="005843E8">
      <w:r>
        <w:t>Risks assigned a “3- Low” priority will receive the least attention in risk planning. They will be reviewed annually, and when</w:t>
      </w:r>
      <w:r w:rsidR="005843E8">
        <w:t>ever</w:t>
      </w:r>
      <w:r>
        <w:t xml:space="preserve"> the IPT believes there is a need to review the risk</w:t>
      </w:r>
      <w:r w:rsidR="00BF4AB8">
        <w:t>, as tracked in the Next Review Date field</w:t>
      </w:r>
      <w:r>
        <w:t xml:space="preserve">. They will have minimal </w:t>
      </w:r>
      <w:r w:rsidR="005D6C54">
        <w:t xml:space="preserve">if any </w:t>
      </w:r>
      <w:r>
        <w:t xml:space="preserve">risk plans, often just noting </w:t>
      </w:r>
      <w:r w:rsidR="005D6C54">
        <w:t xml:space="preserve">in the Risk Register </w:t>
      </w:r>
      <w:r>
        <w:t xml:space="preserve">that the risk </w:t>
      </w:r>
      <w:r w:rsidR="005D6C54">
        <w:t xml:space="preserve">has been identified and </w:t>
      </w:r>
      <w:r>
        <w:t>accepted.</w:t>
      </w:r>
    </w:p>
    <w:p w14:paraId="136820E8" w14:textId="77777777" w:rsidR="000A0282" w:rsidRDefault="000A0282" w:rsidP="00795088">
      <w:pPr>
        <w:autoSpaceDE w:val="0"/>
        <w:autoSpaceDN w:val="0"/>
        <w:adjustRightInd w:val="0"/>
        <w:jc w:val="both"/>
      </w:pPr>
    </w:p>
    <w:p w14:paraId="1CC30D1F" w14:textId="668B5994" w:rsidR="005843E8" w:rsidRDefault="005D6C54" w:rsidP="005843E8">
      <w:pPr>
        <w:autoSpaceDE w:val="0"/>
        <w:autoSpaceDN w:val="0"/>
        <w:adjustRightInd w:val="0"/>
        <w:jc w:val="both"/>
      </w:pPr>
      <w:r>
        <w:t xml:space="preserve">The </w:t>
      </w:r>
      <w:r w:rsidR="002A5A91">
        <w:t>LQCD</w:t>
      </w:r>
      <w:r w:rsidR="005843E8">
        <w:t xml:space="preserve"> Pro</w:t>
      </w:r>
      <w:r>
        <w:t>gram</w:t>
      </w:r>
      <w:r w:rsidR="005843E8">
        <w:t xml:space="preserve"> Office reviews the Risk Register </w:t>
      </w:r>
      <w:r w:rsidR="00BF4AB8">
        <w:t>monthly</w:t>
      </w:r>
      <w:r w:rsidR="00431537">
        <w:t xml:space="preserve"> for entries that may </w:t>
      </w:r>
      <w:r w:rsidR="005B3D16">
        <w:t>be affected by</w:t>
      </w:r>
      <w:r w:rsidR="00431537">
        <w:t xml:space="preserve"> changes in the environment</w:t>
      </w:r>
      <w:r w:rsidR="00BF4AB8">
        <w:t xml:space="preserve"> or which have an upcoming </w:t>
      </w:r>
      <w:r w:rsidR="002477DA">
        <w:t>“</w:t>
      </w:r>
      <w:r w:rsidR="00BF4AB8">
        <w:t>Next Review Date</w:t>
      </w:r>
      <w:r w:rsidR="002477DA">
        <w:t>”</w:t>
      </w:r>
      <w:r w:rsidR="00BF4AB8">
        <w:t xml:space="preserve"> to prepare the IPT for a risk item review</w:t>
      </w:r>
      <w:r w:rsidR="00431537">
        <w:t xml:space="preserve">. </w:t>
      </w:r>
      <w:r w:rsidR="005843E8">
        <w:t xml:space="preserve">The </w:t>
      </w:r>
      <w:r w:rsidR="002A5A91">
        <w:t>LQCD</w:t>
      </w:r>
      <w:r w:rsidR="00940A85">
        <w:t xml:space="preserve"> IPT will also take</w:t>
      </w:r>
      <w:r w:rsidR="005843E8">
        <w:t xml:space="preserve"> adva</w:t>
      </w:r>
      <w:r w:rsidR="00940A85">
        <w:t>ntage of the annual DOE Progress Review</w:t>
      </w:r>
      <w:r w:rsidR="005843E8">
        <w:t xml:space="preserve"> to review the long-term risk management plans with the reviewers. The </w:t>
      </w:r>
      <w:r w:rsidR="002A5A91">
        <w:t>LQCD</w:t>
      </w:r>
      <w:r w:rsidR="005843E8">
        <w:t xml:space="preserve"> Risk Management Plan is updated annually.</w:t>
      </w:r>
    </w:p>
    <w:p w14:paraId="01DB1184" w14:textId="77777777" w:rsidR="005843E8" w:rsidRDefault="005843E8" w:rsidP="00795088">
      <w:pPr>
        <w:autoSpaceDE w:val="0"/>
        <w:autoSpaceDN w:val="0"/>
        <w:adjustRightInd w:val="0"/>
        <w:jc w:val="both"/>
      </w:pPr>
    </w:p>
    <w:p w14:paraId="4C3BB1B8" w14:textId="77777777" w:rsidR="00174F0F" w:rsidRDefault="00174F0F">
      <w:pPr>
        <w:rPr>
          <w:b/>
          <w:sz w:val="28"/>
          <w:szCs w:val="28"/>
        </w:rPr>
      </w:pPr>
      <w:bookmarkStart w:id="227" w:name="_Toc147735472"/>
      <w:bookmarkStart w:id="228" w:name="_Toc235353167"/>
      <w:bookmarkStart w:id="229" w:name="_Toc237081381"/>
      <w:r>
        <w:br w:type="page"/>
      </w:r>
    </w:p>
    <w:p w14:paraId="291DC59A" w14:textId="77777777" w:rsidR="00F3760A" w:rsidRPr="002148AE" w:rsidRDefault="00F3760A" w:rsidP="00F3760A">
      <w:pPr>
        <w:pStyle w:val="Heading1"/>
      </w:pPr>
      <w:bookmarkStart w:id="230" w:name="_Toc10621205"/>
      <w:r w:rsidRPr="002148AE">
        <w:lastRenderedPageBreak/>
        <w:t xml:space="preserve">List of </w:t>
      </w:r>
      <w:bookmarkEnd w:id="227"/>
      <w:bookmarkEnd w:id="228"/>
      <w:bookmarkEnd w:id="229"/>
      <w:r>
        <w:t>Acronyms</w:t>
      </w:r>
      <w:bookmarkEnd w:id="230"/>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1457"/>
        <w:gridCol w:w="6663"/>
      </w:tblGrid>
      <w:tr w:rsidR="00F3760A" w14:paraId="66E660C4" w14:textId="77777777">
        <w:trPr>
          <w:jc w:val="center"/>
        </w:trPr>
        <w:tc>
          <w:tcPr>
            <w:tcW w:w="1457" w:type="dxa"/>
            <w:tcBorders>
              <w:top w:val="single" w:sz="12" w:space="0" w:color="000000"/>
              <w:bottom w:val="single" w:sz="4" w:space="0" w:color="auto"/>
            </w:tcBorders>
            <w:shd w:val="pct10" w:color="C0C0C0" w:fill="D9D9D9"/>
          </w:tcPr>
          <w:p w14:paraId="763262AF" w14:textId="77777777" w:rsidR="00F3760A" w:rsidRPr="001A7411" w:rsidRDefault="00F3760A" w:rsidP="00F3760A">
            <w:r w:rsidRPr="001A7411">
              <w:t>Acronym</w:t>
            </w:r>
          </w:p>
        </w:tc>
        <w:tc>
          <w:tcPr>
            <w:tcW w:w="6663" w:type="dxa"/>
            <w:tcBorders>
              <w:top w:val="single" w:sz="12" w:space="0" w:color="000000"/>
              <w:bottom w:val="single" w:sz="4" w:space="0" w:color="auto"/>
            </w:tcBorders>
            <w:shd w:val="pct10" w:color="C0C0C0" w:fill="D9D9D9"/>
          </w:tcPr>
          <w:p w14:paraId="0600C731" w14:textId="77777777" w:rsidR="00F3760A" w:rsidRPr="001A7411" w:rsidRDefault="00F3760A" w:rsidP="00F3760A">
            <w:r w:rsidRPr="001A7411">
              <w:t>Definition</w:t>
            </w:r>
          </w:p>
        </w:tc>
      </w:tr>
      <w:tr w:rsidR="00BF4AB8" w14:paraId="0B248FA4" w14:textId="77777777">
        <w:trPr>
          <w:jc w:val="center"/>
        </w:trPr>
        <w:tc>
          <w:tcPr>
            <w:tcW w:w="1457" w:type="dxa"/>
            <w:tcBorders>
              <w:top w:val="single" w:sz="4" w:space="0" w:color="auto"/>
            </w:tcBorders>
            <w:shd w:val="clear" w:color="auto" w:fill="auto"/>
          </w:tcPr>
          <w:p w14:paraId="3EDB9E50" w14:textId="7716602E" w:rsidR="00BF4AB8" w:rsidRDefault="00BF4AB8" w:rsidP="00F3760A">
            <w:r>
              <w:t>ALCF</w:t>
            </w:r>
          </w:p>
        </w:tc>
        <w:tc>
          <w:tcPr>
            <w:tcW w:w="6663" w:type="dxa"/>
            <w:tcBorders>
              <w:top w:val="single" w:sz="4" w:space="0" w:color="auto"/>
            </w:tcBorders>
            <w:shd w:val="clear" w:color="auto" w:fill="auto"/>
          </w:tcPr>
          <w:p w14:paraId="036D1753" w14:textId="0BFAC804" w:rsidR="00BF4AB8" w:rsidRDefault="00BF4AB8">
            <w:r>
              <w:t>Argonne Leadership Computing Facility</w:t>
            </w:r>
          </w:p>
        </w:tc>
      </w:tr>
      <w:tr w:rsidR="00BF4AB8" w14:paraId="682F9AC5" w14:textId="77777777">
        <w:trPr>
          <w:jc w:val="center"/>
        </w:trPr>
        <w:tc>
          <w:tcPr>
            <w:tcW w:w="1457" w:type="dxa"/>
            <w:shd w:val="clear" w:color="auto" w:fill="auto"/>
          </w:tcPr>
          <w:p w14:paraId="14A73ACE" w14:textId="77777777" w:rsidR="00BF4AB8" w:rsidRDefault="00BF4AB8" w:rsidP="00F3760A">
            <w:r>
              <w:t>BNL</w:t>
            </w:r>
          </w:p>
        </w:tc>
        <w:tc>
          <w:tcPr>
            <w:tcW w:w="6663" w:type="dxa"/>
            <w:shd w:val="clear" w:color="auto" w:fill="auto"/>
          </w:tcPr>
          <w:p w14:paraId="6E87BB76" w14:textId="77777777" w:rsidR="00BF4AB8" w:rsidRDefault="00BF4AB8" w:rsidP="00F3760A">
            <w:r>
              <w:t>Brookhaven National Laboratory</w:t>
            </w:r>
          </w:p>
        </w:tc>
      </w:tr>
      <w:tr w:rsidR="00BF4AB8" w14:paraId="109802ED" w14:textId="77777777">
        <w:trPr>
          <w:jc w:val="center"/>
        </w:trPr>
        <w:tc>
          <w:tcPr>
            <w:tcW w:w="1457" w:type="dxa"/>
            <w:shd w:val="clear" w:color="auto" w:fill="auto"/>
          </w:tcPr>
          <w:p w14:paraId="05516FFB" w14:textId="77777777" w:rsidR="00BF4AB8" w:rsidRDefault="00BF4AB8" w:rsidP="00F3760A">
            <w:r>
              <w:t>C&amp;A</w:t>
            </w:r>
          </w:p>
        </w:tc>
        <w:tc>
          <w:tcPr>
            <w:tcW w:w="6663" w:type="dxa"/>
            <w:shd w:val="clear" w:color="auto" w:fill="auto"/>
          </w:tcPr>
          <w:p w14:paraId="20419FB1" w14:textId="77777777" w:rsidR="00BF4AB8" w:rsidRDefault="00BF4AB8" w:rsidP="00F3760A">
            <w:r>
              <w:t>Certification and Accreditation (computer security)</w:t>
            </w:r>
          </w:p>
        </w:tc>
      </w:tr>
      <w:tr w:rsidR="00BF4AB8" w14:paraId="2117541E" w14:textId="77777777">
        <w:trPr>
          <w:jc w:val="center"/>
        </w:trPr>
        <w:tc>
          <w:tcPr>
            <w:tcW w:w="1457" w:type="dxa"/>
            <w:shd w:val="clear" w:color="auto" w:fill="auto"/>
          </w:tcPr>
          <w:p w14:paraId="32B4E55C" w14:textId="77777777" w:rsidR="00BF4AB8" w:rsidRDefault="00BF4AB8" w:rsidP="00F3760A">
            <w:r>
              <w:t>CCB</w:t>
            </w:r>
          </w:p>
        </w:tc>
        <w:tc>
          <w:tcPr>
            <w:tcW w:w="6663" w:type="dxa"/>
            <w:shd w:val="clear" w:color="auto" w:fill="auto"/>
          </w:tcPr>
          <w:p w14:paraId="60CFDB27" w14:textId="77777777" w:rsidR="00BF4AB8" w:rsidRDefault="00BF4AB8" w:rsidP="00F3760A">
            <w:r>
              <w:t>Change Control Board</w:t>
            </w:r>
          </w:p>
        </w:tc>
      </w:tr>
      <w:tr w:rsidR="00BF4AB8" w14:paraId="5EE54015" w14:textId="77777777">
        <w:trPr>
          <w:jc w:val="center"/>
        </w:trPr>
        <w:tc>
          <w:tcPr>
            <w:tcW w:w="1457" w:type="dxa"/>
            <w:tcBorders>
              <w:top w:val="nil"/>
            </w:tcBorders>
            <w:shd w:val="clear" w:color="auto" w:fill="auto"/>
          </w:tcPr>
          <w:p w14:paraId="55883FD5" w14:textId="77777777" w:rsidR="00BF4AB8" w:rsidRPr="00615C91" w:rsidRDefault="00BF4AB8" w:rsidP="00F3760A">
            <w:r>
              <w:t>DOE</w:t>
            </w:r>
          </w:p>
        </w:tc>
        <w:tc>
          <w:tcPr>
            <w:tcW w:w="6663" w:type="dxa"/>
            <w:tcBorders>
              <w:top w:val="nil"/>
            </w:tcBorders>
            <w:shd w:val="clear" w:color="auto" w:fill="auto"/>
          </w:tcPr>
          <w:p w14:paraId="6705A704" w14:textId="77777777" w:rsidR="00BF4AB8" w:rsidRDefault="00BF4AB8" w:rsidP="00F3760A">
            <w:r>
              <w:t>Department of Energy</w:t>
            </w:r>
          </w:p>
        </w:tc>
      </w:tr>
      <w:tr w:rsidR="00BF4AB8" w14:paraId="7B93B682" w14:textId="77777777">
        <w:trPr>
          <w:jc w:val="center"/>
        </w:trPr>
        <w:tc>
          <w:tcPr>
            <w:tcW w:w="1457" w:type="dxa"/>
            <w:shd w:val="clear" w:color="auto" w:fill="auto"/>
          </w:tcPr>
          <w:p w14:paraId="1BD85A98" w14:textId="77777777" w:rsidR="00BF4AB8" w:rsidRDefault="00BF4AB8" w:rsidP="00F3760A">
            <w:r>
              <w:t>FNAL</w:t>
            </w:r>
          </w:p>
        </w:tc>
        <w:tc>
          <w:tcPr>
            <w:tcW w:w="6663" w:type="dxa"/>
            <w:shd w:val="clear" w:color="auto" w:fill="auto"/>
          </w:tcPr>
          <w:p w14:paraId="56184173" w14:textId="77777777" w:rsidR="00BF4AB8" w:rsidRDefault="00BF4AB8" w:rsidP="00F3760A">
            <w:r>
              <w:t>Fermi National Accelerator Laboratory (a.k.a. Fermilab)</w:t>
            </w:r>
          </w:p>
        </w:tc>
      </w:tr>
      <w:tr w:rsidR="00BF4AB8" w14:paraId="6F5B330B" w14:textId="77777777">
        <w:trPr>
          <w:jc w:val="center"/>
        </w:trPr>
        <w:tc>
          <w:tcPr>
            <w:tcW w:w="1457" w:type="dxa"/>
            <w:shd w:val="clear" w:color="auto" w:fill="auto"/>
          </w:tcPr>
          <w:p w14:paraId="6CCDA258" w14:textId="77777777" w:rsidR="00BF4AB8" w:rsidRDefault="00BF4AB8" w:rsidP="00F3760A">
            <w:r>
              <w:t>IPT</w:t>
            </w:r>
          </w:p>
        </w:tc>
        <w:tc>
          <w:tcPr>
            <w:tcW w:w="6663" w:type="dxa"/>
            <w:shd w:val="clear" w:color="auto" w:fill="auto"/>
          </w:tcPr>
          <w:p w14:paraId="27D9F365" w14:textId="77777777" w:rsidR="00BF4AB8" w:rsidRDefault="00BF4AB8" w:rsidP="00F3760A">
            <w:r>
              <w:t>Integrated Project Team</w:t>
            </w:r>
          </w:p>
        </w:tc>
      </w:tr>
      <w:tr w:rsidR="00BF4AB8" w14:paraId="379E3AA5" w14:textId="77777777">
        <w:trPr>
          <w:jc w:val="center"/>
        </w:trPr>
        <w:tc>
          <w:tcPr>
            <w:tcW w:w="1457" w:type="dxa"/>
            <w:shd w:val="clear" w:color="auto" w:fill="auto"/>
          </w:tcPr>
          <w:p w14:paraId="6B4CFADB" w14:textId="2D6C052E" w:rsidR="00BF4AB8" w:rsidRDefault="00BF4AB8" w:rsidP="00F3760A">
            <w:r>
              <w:t>LLNL</w:t>
            </w:r>
          </w:p>
        </w:tc>
        <w:tc>
          <w:tcPr>
            <w:tcW w:w="6663" w:type="dxa"/>
            <w:shd w:val="clear" w:color="auto" w:fill="auto"/>
          </w:tcPr>
          <w:p w14:paraId="6155E77B" w14:textId="246E379D" w:rsidR="00BF4AB8" w:rsidRDefault="00BF4AB8" w:rsidP="00F3760A">
            <w:r>
              <w:t>Lawrence Livermore National Laboratory</w:t>
            </w:r>
          </w:p>
        </w:tc>
      </w:tr>
      <w:tr w:rsidR="00C14406" w14:paraId="163519E7" w14:textId="77777777">
        <w:trPr>
          <w:jc w:val="center"/>
        </w:trPr>
        <w:tc>
          <w:tcPr>
            <w:tcW w:w="1457" w:type="dxa"/>
            <w:shd w:val="clear" w:color="auto" w:fill="auto"/>
          </w:tcPr>
          <w:p w14:paraId="5D698FBE" w14:textId="4B79B9BC" w:rsidR="00C14406" w:rsidRDefault="00C14406" w:rsidP="00F3760A">
            <w:r>
              <w:t>LQCD</w:t>
            </w:r>
          </w:p>
        </w:tc>
        <w:tc>
          <w:tcPr>
            <w:tcW w:w="6663" w:type="dxa"/>
            <w:shd w:val="clear" w:color="auto" w:fill="auto"/>
          </w:tcPr>
          <w:p w14:paraId="35BC5C7E" w14:textId="69DB9FC2" w:rsidR="00C14406" w:rsidRDefault="00C14406" w:rsidP="00F3760A">
            <w:r>
              <w:t>Lattice Quantum Chromodynamics</w:t>
            </w:r>
          </w:p>
        </w:tc>
      </w:tr>
      <w:tr w:rsidR="00BF4AB8" w14:paraId="3BB9ACEA" w14:textId="77777777">
        <w:trPr>
          <w:jc w:val="center"/>
        </w:trPr>
        <w:tc>
          <w:tcPr>
            <w:tcW w:w="1457" w:type="dxa"/>
            <w:shd w:val="clear" w:color="auto" w:fill="auto"/>
          </w:tcPr>
          <w:p w14:paraId="4C3C9811" w14:textId="77777777" w:rsidR="00BF4AB8" w:rsidRDefault="00BF4AB8" w:rsidP="00F3760A">
            <w:r>
              <w:t>NCSA</w:t>
            </w:r>
          </w:p>
        </w:tc>
        <w:tc>
          <w:tcPr>
            <w:tcW w:w="6663" w:type="dxa"/>
            <w:shd w:val="clear" w:color="auto" w:fill="auto"/>
          </w:tcPr>
          <w:p w14:paraId="4BA2B2FF" w14:textId="77777777" w:rsidR="00BF4AB8" w:rsidRDefault="00BF4AB8" w:rsidP="00F3760A">
            <w:r>
              <w:t>National Center for Supercomputing Applications</w:t>
            </w:r>
          </w:p>
        </w:tc>
      </w:tr>
      <w:tr w:rsidR="00BF4AB8" w14:paraId="30167B49" w14:textId="77777777">
        <w:trPr>
          <w:jc w:val="center"/>
        </w:trPr>
        <w:tc>
          <w:tcPr>
            <w:tcW w:w="1457" w:type="dxa"/>
            <w:shd w:val="clear" w:color="auto" w:fill="auto"/>
          </w:tcPr>
          <w:p w14:paraId="5D2B6366" w14:textId="77777777" w:rsidR="00BF4AB8" w:rsidRDefault="00BF4AB8" w:rsidP="00F3760A">
            <w:r>
              <w:t>NERSC</w:t>
            </w:r>
          </w:p>
        </w:tc>
        <w:tc>
          <w:tcPr>
            <w:tcW w:w="6663" w:type="dxa"/>
            <w:shd w:val="clear" w:color="auto" w:fill="auto"/>
          </w:tcPr>
          <w:p w14:paraId="64912A73" w14:textId="77777777" w:rsidR="00BF4AB8" w:rsidRPr="00022AB2" w:rsidRDefault="00BF4AB8" w:rsidP="00F3760A">
            <w:r w:rsidRPr="00022AB2">
              <w:t>National Energy Research Scientific Computing Center</w:t>
            </w:r>
          </w:p>
        </w:tc>
      </w:tr>
      <w:tr w:rsidR="00BF4AB8" w14:paraId="13EB81D2" w14:textId="77777777">
        <w:trPr>
          <w:jc w:val="center"/>
        </w:trPr>
        <w:tc>
          <w:tcPr>
            <w:tcW w:w="1457" w:type="dxa"/>
            <w:shd w:val="clear" w:color="auto" w:fill="auto"/>
          </w:tcPr>
          <w:p w14:paraId="15DDE1E3" w14:textId="5D680D76" w:rsidR="00BF4AB8" w:rsidRDefault="00BF4AB8" w:rsidP="00F3760A">
            <w:r>
              <w:t>ORNL</w:t>
            </w:r>
          </w:p>
        </w:tc>
        <w:tc>
          <w:tcPr>
            <w:tcW w:w="6663" w:type="dxa"/>
            <w:shd w:val="clear" w:color="auto" w:fill="auto"/>
          </w:tcPr>
          <w:p w14:paraId="45A2DC55" w14:textId="5D1B9BFD" w:rsidR="00BF4AB8" w:rsidRDefault="00BF4AB8" w:rsidP="00F3760A">
            <w:r>
              <w:t>Oak Ridge National Laboratory</w:t>
            </w:r>
          </w:p>
        </w:tc>
      </w:tr>
      <w:tr w:rsidR="00D64C68" w14:paraId="2B4475DE" w14:textId="77777777">
        <w:trPr>
          <w:jc w:val="center"/>
        </w:trPr>
        <w:tc>
          <w:tcPr>
            <w:tcW w:w="1457" w:type="dxa"/>
            <w:shd w:val="clear" w:color="auto" w:fill="auto"/>
          </w:tcPr>
          <w:p w14:paraId="486C827F" w14:textId="480D9E73" w:rsidR="00D64C68" w:rsidRDefault="00D64C68" w:rsidP="00192B58">
            <w:r>
              <w:t>QCD</w:t>
            </w:r>
          </w:p>
        </w:tc>
        <w:tc>
          <w:tcPr>
            <w:tcW w:w="6663" w:type="dxa"/>
            <w:shd w:val="clear" w:color="auto" w:fill="auto"/>
          </w:tcPr>
          <w:p w14:paraId="05D72F76" w14:textId="5A987027" w:rsidR="00D64C68" w:rsidRDefault="00D64C68" w:rsidP="00192B58">
            <w:r>
              <w:t>Quantum Chromodynamics</w:t>
            </w:r>
          </w:p>
        </w:tc>
      </w:tr>
      <w:tr w:rsidR="00D64C68" w14:paraId="696CCD68" w14:textId="77777777">
        <w:trPr>
          <w:jc w:val="center"/>
        </w:trPr>
        <w:tc>
          <w:tcPr>
            <w:tcW w:w="1457" w:type="dxa"/>
            <w:shd w:val="clear" w:color="auto" w:fill="auto"/>
          </w:tcPr>
          <w:p w14:paraId="2A5F2C8F" w14:textId="5F461330" w:rsidR="00D64C68" w:rsidRDefault="00D64C68" w:rsidP="00192B58">
            <w:r>
              <w:t>TACC</w:t>
            </w:r>
          </w:p>
        </w:tc>
        <w:tc>
          <w:tcPr>
            <w:tcW w:w="6663" w:type="dxa"/>
            <w:shd w:val="clear" w:color="auto" w:fill="auto"/>
          </w:tcPr>
          <w:p w14:paraId="203D442A" w14:textId="1EB15B40" w:rsidR="00D64C68" w:rsidRDefault="00D64C68" w:rsidP="00192B58">
            <w:r>
              <w:t>Texas Advanced Computing Center</w:t>
            </w:r>
          </w:p>
        </w:tc>
      </w:tr>
      <w:tr w:rsidR="00BF4AB8" w14:paraId="04F07F09" w14:textId="77777777">
        <w:trPr>
          <w:jc w:val="center"/>
        </w:trPr>
        <w:tc>
          <w:tcPr>
            <w:tcW w:w="1457" w:type="dxa"/>
            <w:shd w:val="clear" w:color="auto" w:fill="auto"/>
          </w:tcPr>
          <w:p w14:paraId="44628483" w14:textId="27321B37" w:rsidR="00BF4AB8" w:rsidRDefault="00BF4AB8">
            <w:r>
              <w:t>T</w:t>
            </w:r>
            <w:r w:rsidR="008C4D30">
              <w:t>f</w:t>
            </w:r>
            <w:r>
              <w:t>lop/s</w:t>
            </w:r>
          </w:p>
        </w:tc>
        <w:tc>
          <w:tcPr>
            <w:tcW w:w="6663" w:type="dxa"/>
            <w:shd w:val="clear" w:color="auto" w:fill="auto"/>
          </w:tcPr>
          <w:p w14:paraId="3327478B" w14:textId="77777777" w:rsidR="00BF4AB8" w:rsidRDefault="00BF4AB8" w:rsidP="00F3760A">
            <w:r>
              <w:t>Teraflops per second. 1 teraflop = 10^12 floating point operations</w:t>
            </w:r>
          </w:p>
        </w:tc>
      </w:tr>
      <w:tr w:rsidR="00BF4AB8" w14:paraId="523499B0" w14:textId="77777777">
        <w:trPr>
          <w:jc w:val="center"/>
        </w:trPr>
        <w:tc>
          <w:tcPr>
            <w:tcW w:w="1457" w:type="dxa"/>
            <w:shd w:val="clear" w:color="auto" w:fill="auto"/>
          </w:tcPr>
          <w:p w14:paraId="19462017" w14:textId="7B8EA314" w:rsidR="00BF4AB8" w:rsidRDefault="00BF4AB8" w:rsidP="00F3760A">
            <w:r>
              <w:t>T</w:t>
            </w:r>
            <w:r w:rsidR="008C4D30">
              <w:t>f</w:t>
            </w:r>
            <w:r>
              <w:t>lop/s-</w:t>
            </w:r>
            <w:proofErr w:type="spellStart"/>
            <w:r>
              <w:t>yr</w:t>
            </w:r>
            <w:proofErr w:type="spellEnd"/>
          </w:p>
        </w:tc>
        <w:tc>
          <w:tcPr>
            <w:tcW w:w="6663" w:type="dxa"/>
            <w:shd w:val="clear" w:color="auto" w:fill="auto"/>
          </w:tcPr>
          <w:p w14:paraId="3249BF17" w14:textId="77777777" w:rsidR="00BF4AB8" w:rsidRDefault="00BF4AB8" w:rsidP="00F3760A">
            <w:r>
              <w:t>Computing delivered by 1 TFlop/s sustained for one year</w:t>
            </w:r>
          </w:p>
        </w:tc>
      </w:tr>
      <w:tr w:rsidR="00BF4AB8" w14:paraId="25BBCD62" w14:textId="77777777">
        <w:trPr>
          <w:jc w:val="center"/>
        </w:trPr>
        <w:tc>
          <w:tcPr>
            <w:tcW w:w="1457" w:type="dxa"/>
            <w:shd w:val="clear" w:color="auto" w:fill="auto"/>
          </w:tcPr>
          <w:p w14:paraId="46F8E7F4" w14:textId="77777777" w:rsidR="00BF4AB8" w:rsidRDefault="00BF4AB8" w:rsidP="00F3760A">
            <w:r>
              <w:t>TJNAF</w:t>
            </w:r>
          </w:p>
        </w:tc>
        <w:tc>
          <w:tcPr>
            <w:tcW w:w="6663" w:type="dxa"/>
            <w:shd w:val="clear" w:color="auto" w:fill="auto"/>
          </w:tcPr>
          <w:p w14:paraId="55E74E83" w14:textId="77777777" w:rsidR="00BF4AB8" w:rsidRDefault="00BF4AB8" w:rsidP="00F3760A">
            <w:r>
              <w:t>Thomas Jefferson National Accelerator Facility (a.k.a. JLab)</w:t>
            </w:r>
          </w:p>
        </w:tc>
      </w:tr>
    </w:tbl>
    <w:p w14:paraId="30C3019E" w14:textId="77777777" w:rsidR="00E964AC" w:rsidRDefault="00E964AC" w:rsidP="007E0B4A"/>
    <w:sectPr w:rsidR="00E964AC" w:rsidSect="001D7F77">
      <w:headerReference w:type="default" r:id="rId9"/>
      <w:footerReference w:type="default" r:id="rId10"/>
      <w:pgSz w:w="12240" w:h="15840" w:code="1"/>
      <w:pgMar w:top="1440" w:right="1080" w:bottom="1440" w:left="144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9AFF" w14:textId="77777777" w:rsidR="003A40E9" w:rsidRDefault="003A40E9" w:rsidP="00EB4627">
      <w:r>
        <w:separator/>
      </w:r>
    </w:p>
    <w:p w14:paraId="1DE60B2B" w14:textId="77777777" w:rsidR="003A40E9" w:rsidRDefault="003A40E9" w:rsidP="00EB4627"/>
    <w:p w14:paraId="1D4744FE" w14:textId="77777777" w:rsidR="003A40E9" w:rsidRDefault="003A40E9" w:rsidP="00EB4627"/>
    <w:p w14:paraId="522E8BFB" w14:textId="77777777" w:rsidR="003A40E9" w:rsidRDefault="003A40E9" w:rsidP="00EB4627"/>
    <w:p w14:paraId="5EBCEF81" w14:textId="77777777" w:rsidR="003A40E9" w:rsidRDefault="003A40E9" w:rsidP="00EB4627"/>
    <w:p w14:paraId="113D011B" w14:textId="77777777" w:rsidR="003A40E9" w:rsidRDefault="003A40E9" w:rsidP="00EB4627"/>
    <w:p w14:paraId="6C602918" w14:textId="77777777" w:rsidR="003A40E9" w:rsidRDefault="003A40E9" w:rsidP="00EB4627"/>
  </w:endnote>
  <w:endnote w:type="continuationSeparator" w:id="0">
    <w:p w14:paraId="12AC6292" w14:textId="77777777" w:rsidR="003A40E9" w:rsidRDefault="003A40E9" w:rsidP="00EB4627">
      <w:r>
        <w:continuationSeparator/>
      </w:r>
    </w:p>
    <w:p w14:paraId="7A4E4391" w14:textId="77777777" w:rsidR="003A40E9" w:rsidRDefault="003A40E9" w:rsidP="00EB4627"/>
    <w:p w14:paraId="27830B49" w14:textId="77777777" w:rsidR="003A40E9" w:rsidRDefault="003A40E9" w:rsidP="00EB4627"/>
    <w:p w14:paraId="6954C1DD" w14:textId="77777777" w:rsidR="003A40E9" w:rsidRDefault="003A40E9" w:rsidP="00EB4627"/>
    <w:p w14:paraId="739E2D06" w14:textId="77777777" w:rsidR="003A40E9" w:rsidRDefault="003A40E9" w:rsidP="00EB4627"/>
    <w:p w14:paraId="1632350B" w14:textId="77777777" w:rsidR="003A40E9" w:rsidRDefault="003A40E9" w:rsidP="00EB4627"/>
    <w:p w14:paraId="1F29B633" w14:textId="77777777" w:rsidR="003A40E9" w:rsidRDefault="003A40E9" w:rsidP="00EB4627"/>
  </w:endnote>
  <w:endnote w:id="1">
    <w:p w14:paraId="1FFE99BB" w14:textId="7741D6F5" w:rsidR="00C243BC" w:rsidRDefault="00C243BC">
      <w:pPr>
        <w:pStyle w:val="EndnoteText"/>
      </w:pPr>
      <w:r>
        <w:rPr>
          <w:rStyle w:val="EndnoteReference"/>
        </w:rPr>
        <w:endnoteRef/>
      </w:r>
      <w:r>
        <w:t xml:space="preserve"> Risk Register for the LQCD-ext III project</w:t>
      </w:r>
    </w:p>
    <w:p w14:paraId="055C6B7C" w14:textId="77777777" w:rsidR="00C243BC" w:rsidRDefault="00C243BC">
      <w:pPr>
        <w:pStyle w:val="EndnoteText"/>
      </w:pPr>
    </w:p>
  </w:endnote>
  <w:endnote w:id="2">
    <w:p w14:paraId="459431A3" w14:textId="77777777" w:rsidR="00C243BC" w:rsidRDefault="00C243BC" w:rsidP="00D447E6">
      <w:r>
        <w:rPr>
          <w:rStyle w:val="EndnoteReference"/>
        </w:rPr>
        <w:endnoteRef/>
      </w:r>
      <w:r>
        <w:t xml:space="preserve"> DOE G 413.3-7 Risk Management Guide (9-16-08)</w:t>
      </w:r>
    </w:p>
    <w:p w14:paraId="61411FE4" w14:textId="77777777" w:rsidR="00C243BC" w:rsidRDefault="00C243BC">
      <w:pPr>
        <w:pStyle w:val="EndnoteText"/>
      </w:pPr>
    </w:p>
  </w:endnote>
  <w:endnote w:id="3">
    <w:p w14:paraId="1A715A54" w14:textId="77777777" w:rsidR="00C243BC" w:rsidRDefault="00C243BC" w:rsidP="00D447E6">
      <w:r>
        <w:rPr>
          <w:rStyle w:val="EndnoteReference"/>
        </w:rPr>
        <w:endnoteRef/>
      </w:r>
      <w:r>
        <w:t xml:space="preserve"> A Guide to the Project Management Body of Knowledge (PMBOK® Third Edition), Project Management Institute</w:t>
      </w:r>
    </w:p>
    <w:p w14:paraId="09A2FC98" w14:textId="77777777" w:rsidR="00C243BC" w:rsidRDefault="00C243BC">
      <w:pPr>
        <w:pStyle w:val="EndnoteText"/>
      </w:pPr>
    </w:p>
  </w:endnote>
  <w:endnote w:id="4">
    <w:p w14:paraId="4CC10FE9" w14:textId="77777777" w:rsidR="00C243BC" w:rsidRDefault="00C243BC" w:rsidP="00D447E6">
      <w:r>
        <w:rPr>
          <w:rStyle w:val="EndnoteReference"/>
        </w:rPr>
        <w:endnoteRef/>
      </w:r>
      <w:r>
        <w:t xml:space="preserve"> OMB Circular Number A-11 Part 7 Capital Programming Guide V2.0 (2006) Appendix 5 </w:t>
      </w:r>
    </w:p>
    <w:p w14:paraId="258C3C6E" w14:textId="77777777" w:rsidR="00C243BC" w:rsidRDefault="00C243B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TXingka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DD07" w14:textId="1CDDCD5C" w:rsidR="00C243BC" w:rsidRDefault="00C243BC" w:rsidP="002A5478">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6E3B" w14:textId="77777777" w:rsidR="002B1AD1" w:rsidRDefault="002B1AD1" w:rsidP="002A5478">
    <w:pPr>
      <w:pStyle w:val="Footer"/>
      <w:tabs>
        <w:tab w:val="clear" w:pos="8640"/>
        <w:tab w:val="right" w:pos="9720"/>
      </w:tabs>
    </w:pPr>
  </w:p>
  <w:p w14:paraId="3A11A6C0" w14:textId="77777777" w:rsidR="002B1AD1" w:rsidRDefault="002B1AD1" w:rsidP="002A5478">
    <w:pPr>
      <w:pStyle w:val="Footer"/>
      <w:tabs>
        <w:tab w:val="clear" w:pos="8640"/>
        <w:tab w:val="right" w:pos="9720"/>
      </w:tabs>
    </w:pPr>
    <w:r>
      <w:t>_________________________________________________________________________________________________________________________</w:t>
    </w:r>
  </w:p>
  <w:p w14:paraId="5236DB02" w14:textId="22BC99F9" w:rsidR="002B1AD1" w:rsidRDefault="002B1AD1" w:rsidP="002A5478">
    <w:pPr>
      <w:pStyle w:val="Footer"/>
      <w:tabs>
        <w:tab w:val="clear" w:pos="8640"/>
        <w:tab w:val="right" w:pos="9720"/>
      </w:tabs>
    </w:pPr>
    <w:r>
      <w:t>LQCD-ext III Risk Management Plan – v0</w:t>
    </w:r>
    <w:r>
      <w:tab/>
    </w:r>
    <w:r>
      <w:tab/>
      <w:t xml:space="preserve">Page </w:t>
    </w:r>
    <w:r>
      <w:fldChar w:fldCharType="begin"/>
    </w:r>
    <w:r>
      <w:instrText xml:space="preserve"> PAGE  </w:instrText>
    </w:r>
    <w:r>
      <w:fldChar w:fldCharType="separate"/>
    </w:r>
    <w:r>
      <w:rPr>
        <w:noProof/>
      </w:rPr>
      <w:t>10</w:t>
    </w:r>
    <w:r>
      <w:fldChar w:fldCharType="end"/>
    </w:r>
    <w:r>
      <w:t xml:space="preserve"> of </w:t>
    </w:r>
    <w:fldSimple w:instr=" SECTIONPAGES  ">
      <w:r w:rsidR="00FE35D7">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DD41" w14:textId="77777777" w:rsidR="003A40E9" w:rsidRDefault="003A40E9" w:rsidP="00EB4627">
      <w:r>
        <w:separator/>
      </w:r>
    </w:p>
    <w:p w14:paraId="4CF3F2CF" w14:textId="77777777" w:rsidR="003A40E9" w:rsidRDefault="003A40E9" w:rsidP="00EB4627"/>
    <w:p w14:paraId="45B6D421" w14:textId="77777777" w:rsidR="003A40E9" w:rsidRDefault="003A40E9" w:rsidP="00EB4627"/>
    <w:p w14:paraId="11F4C32B" w14:textId="77777777" w:rsidR="003A40E9" w:rsidRDefault="003A40E9" w:rsidP="00EB4627"/>
    <w:p w14:paraId="75EFFF8A" w14:textId="77777777" w:rsidR="003A40E9" w:rsidRDefault="003A40E9" w:rsidP="00EB4627"/>
    <w:p w14:paraId="132B56CF" w14:textId="77777777" w:rsidR="003A40E9" w:rsidRDefault="003A40E9" w:rsidP="00EB4627"/>
    <w:p w14:paraId="00ADF87A" w14:textId="77777777" w:rsidR="003A40E9" w:rsidRDefault="003A40E9" w:rsidP="00EB4627"/>
  </w:footnote>
  <w:footnote w:type="continuationSeparator" w:id="0">
    <w:p w14:paraId="1035E116" w14:textId="77777777" w:rsidR="003A40E9" w:rsidRDefault="003A40E9" w:rsidP="00EB4627">
      <w:r>
        <w:continuationSeparator/>
      </w:r>
    </w:p>
    <w:p w14:paraId="7E08C558" w14:textId="77777777" w:rsidR="003A40E9" w:rsidRDefault="003A40E9" w:rsidP="00EB4627"/>
    <w:p w14:paraId="3187B9F1" w14:textId="77777777" w:rsidR="003A40E9" w:rsidRDefault="003A40E9" w:rsidP="00EB4627"/>
    <w:p w14:paraId="3EF52340" w14:textId="77777777" w:rsidR="003A40E9" w:rsidRDefault="003A40E9" w:rsidP="00EB4627"/>
    <w:p w14:paraId="5D5619C7" w14:textId="77777777" w:rsidR="003A40E9" w:rsidRDefault="003A40E9" w:rsidP="00EB4627"/>
    <w:p w14:paraId="4B27C4BA" w14:textId="77777777" w:rsidR="003A40E9" w:rsidRDefault="003A40E9" w:rsidP="00EB4627"/>
    <w:p w14:paraId="4FB300D1" w14:textId="77777777" w:rsidR="003A40E9" w:rsidRDefault="003A40E9" w:rsidP="00EB4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12DD" w14:textId="77777777" w:rsidR="002B1AD1" w:rsidRDefault="002B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527"/>
    <w:multiLevelType w:val="hybridMultilevel"/>
    <w:tmpl w:val="C1F0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57D39"/>
    <w:multiLevelType w:val="hybridMultilevel"/>
    <w:tmpl w:val="6E9A7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25F5E"/>
    <w:multiLevelType w:val="hybridMultilevel"/>
    <w:tmpl w:val="B1626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0DDA"/>
    <w:multiLevelType w:val="hybridMultilevel"/>
    <w:tmpl w:val="355C7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E121E"/>
    <w:multiLevelType w:val="hybridMultilevel"/>
    <w:tmpl w:val="548CE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1575A"/>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0F805227"/>
    <w:multiLevelType w:val="hybridMultilevel"/>
    <w:tmpl w:val="DA663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54493"/>
    <w:multiLevelType w:val="hybridMultilevel"/>
    <w:tmpl w:val="E8348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BA453C"/>
    <w:multiLevelType w:val="multilevel"/>
    <w:tmpl w:val="8A94F07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720" w:hanging="72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4510DB"/>
    <w:multiLevelType w:val="hybridMultilevel"/>
    <w:tmpl w:val="D0C83C5E"/>
    <w:lvl w:ilvl="0" w:tplc="3432A950">
      <w:start w:val="10"/>
      <w:numFmt w:val="decimal"/>
      <w:lvlText w:val="%1"/>
      <w:lvlJc w:val="left"/>
      <w:pPr>
        <w:ind w:left="720" w:hanging="360"/>
      </w:pPr>
      <w:rPr>
        <w:rFonts w:ascii="Times New Roman" w:hAnsi="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A0065"/>
    <w:multiLevelType w:val="hybridMultilevel"/>
    <w:tmpl w:val="AE0C8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77CD8"/>
    <w:multiLevelType w:val="multilevel"/>
    <w:tmpl w:val="F0EAF3D8"/>
    <w:lvl w:ilvl="0">
      <w:start w:val="1"/>
      <w:numFmt w:val="lowerLetter"/>
      <w:lvlText w:val="%1)"/>
      <w:lvlJc w:val="left"/>
      <w:pPr>
        <w:tabs>
          <w:tab w:val="num" w:pos="360"/>
        </w:tabs>
        <w:ind w:left="360" w:hanging="36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FA09B2"/>
    <w:multiLevelType w:val="hybridMultilevel"/>
    <w:tmpl w:val="3844E184"/>
    <w:lvl w:ilvl="0" w:tplc="21F2A71A">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15E4751"/>
    <w:multiLevelType w:val="hybridMultilevel"/>
    <w:tmpl w:val="7F8E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202E8"/>
    <w:multiLevelType w:val="hybridMultilevel"/>
    <w:tmpl w:val="7A0E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1352A"/>
    <w:multiLevelType w:val="hybridMultilevel"/>
    <w:tmpl w:val="612C442A"/>
    <w:lvl w:ilvl="0" w:tplc="21F2A71A">
      <w:start w:val="1"/>
      <w:numFmt w:val="bullet"/>
      <w:lvlText w:val=""/>
      <w:lvlJc w:val="left"/>
      <w:pPr>
        <w:tabs>
          <w:tab w:val="num" w:pos="720"/>
        </w:tabs>
        <w:ind w:left="720" w:hanging="360"/>
      </w:pPr>
      <w:rPr>
        <w:rFonts w:ascii="Symbol" w:hAnsi="Symbol" w:hint="default"/>
        <w:sz w:val="16"/>
      </w:rPr>
    </w:lvl>
    <w:lvl w:ilvl="1" w:tplc="B9BE4534">
      <w:start w:val="1"/>
      <w:numFmt w:val="bullet"/>
      <w:lvlText w:val="□"/>
      <w:lvlJc w:val="left"/>
      <w:pPr>
        <w:tabs>
          <w:tab w:val="num" w:pos="1440"/>
        </w:tabs>
        <w:ind w:left="1440" w:hanging="360"/>
      </w:pPr>
      <w:rPr>
        <w:rFonts w:ascii="Times" w:hAnsi="Times" w:cs="Times New Roman"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C2C63"/>
    <w:multiLevelType w:val="singleLevel"/>
    <w:tmpl w:val="0AD25692"/>
    <w:lvl w:ilvl="0">
      <w:start w:val="5"/>
      <w:numFmt w:val="decimal"/>
      <w:lvlText w:val="%1. "/>
      <w:legacy w:legacy="1" w:legacySpace="0" w:legacyIndent="283"/>
      <w:lvlJc w:val="left"/>
      <w:pPr>
        <w:ind w:left="283" w:hanging="283"/>
      </w:pPr>
      <w:rPr>
        <w:rFonts w:ascii="Palatino" w:hAnsi="Palatino" w:hint="default"/>
        <w:b w:val="0"/>
        <w:i w:val="0"/>
        <w:sz w:val="24"/>
        <w:u w:val="none"/>
      </w:rPr>
    </w:lvl>
  </w:abstractNum>
  <w:abstractNum w:abstractNumId="17" w15:restartNumberingAfterBreak="0">
    <w:nsid w:val="2BB461E6"/>
    <w:multiLevelType w:val="hybridMultilevel"/>
    <w:tmpl w:val="DB0AC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23584"/>
    <w:multiLevelType w:val="multilevel"/>
    <w:tmpl w:val="77323196"/>
    <w:lvl w:ilvl="0">
      <w:start w:val="1"/>
      <w:numFmt w:val="upperLetter"/>
      <w:lvlText w:val="Appendix %1   "/>
      <w:lvlJc w:val="left"/>
      <w:pPr>
        <w:tabs>
          <w:tab w:val="num" w:pos="216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300453F7"/>
    <w:multiLevelType w:val="hybridMultilevel"/>
    <w:tmpl w:val="F64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C6531"/>
    <w:multiLevelType w:val="hybridMultilevel"/>
    <w:tmpl w:val="962EF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4B60B5"/>
    <w:multiLevelType w:val="hybridMultilevel"/>
    <w:tmpl w:val="A2CE641E"/>
    <w:lvl w:ilvl="0" w:tplc="21F2A71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F201E"/>
    <w:multiLevelType w:val="hybridMultilevel"/>
    <w:tmpl w:val="C2C0EF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367AB"/>
    <w:multiLevelType w:val="hybridMultilevel"/>
    <w:tmpl w:val="A2AE5F0C"/>
    <w:lvl w:ilvl="0" w:tplc="3BFEE7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E7BE0"/>
    <w:multiLevelType w:val="hybridMultilevel"/>
    <w:tmpl w:val="0C100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6770B"/>
    <w:multiLevelType w:val="hybridMultilevel"/>
    <w:tmpl w:val="4A44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23E87"/>
    <w:multiLevelType w:val="hybridMultilevel"/>
    <w:tmpl w:val="C8BA26F6"/>
    <w:lvl w:ilvl="0" w:tplc="072461C0">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22CE4"/>
    <w:multiLevelType w:val="hybridMultilevel"/>
    <w:tmpl w:val="C0D2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01EB2"/>
    <w:multiLevelType w:val="hybridMultilevel"/>
    <w:tmpl w:val="8200E31C"/>
    <w:lvl w:ilvl="0" w:tplc="3BFEE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23EDF"/>
    <w:multiLevelType w:val="hybridMultilevel"/>
    <w:tmpl w:val="677A0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105B9B"/>
    <w:multiLevelType w:val="hybridMultilevel"/>
    <w:tmpl w:val="216EFCD6"/>
    <w:lvl w:ilvl="0" w:tplc="F91EBF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2D4B90"/>
    <w:multiLevelType w:val="hybridMultilevel"/>
    <w:tmpl w:val="119CD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650936"/>
    <w:multiLevelType w:val="hybridMultilevel"/>
    <w:tmpl w:val="14320F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35075"/>
    <w:multiLevelType w:val="hybridMultilevel"/>
    <w:tmpl w:val="D2D84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D83817"/>
    <w:multiLevelType w:val="multilevel"/>
    <w:tmpl w:val="A37C6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B51516"/>
    <w:multiLevelType w:val="hybridMultilevel"/>
    <w:tmpl w:val="3134E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6A0E"/>
    <w:multiLevelType w:val="hybridMultilevel"/>
    <w:tmpl w:val="E3D4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5C65FC"/>
    <w:multiLevelType w:val="hybridMultilevel"/>
    <w:tmpl w:val="764E2394"/>
    <w:lvl w:ilvl="0" w:tplc="873C689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E8E5B73"/>
    <w:multiLevelType w:val="hybridMultilevel"/>
    <w:tmpl w:val="219A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606054">
    <w:abstractNumId w:val="8"/>
  </w:num>
  <w:num w:numId="2" w16cid:durableId="14815550">
    <w:abstractNumId w:val="26"/>
  </w:num>
  <w:num w:numId="3" w16cid:durableId="1685129231">
    <w:abstractNumId w:val="15"/>
  </w:num>
  <w:num w:numId="4" w16cid:durableId="1643151165">
    <w:abstractNumId w:val="18"/>
  </w:num>
  <w:num w:numId="5" w16cid:durableId="1990867897">
    <w:abstractNumId w:val="16"/>
  </w:num>
  <w:num w:numId="6" w16cid:durableId="521478722">
    <w:abstractNumId w:val="27"/>
  </w:num>
  <w:num w:numId="7" w16cid:durableId="586620225">
    <w:abstractNumId w:val="34"/>
  </w:num>
  <w:num w:numId="8" w16cid:durableId="1210724769">
    <w:abstractNumId w:val="5"/>
  </w:num>
  <w:num w:numId="9" w16cid:durableId="1797218749">
    <w:abstractNumId w:val="30"/>
  </w:num>
  <w:num w:numId="10" w16cid:durableId="541333167">
    <w:abstractNumId w:val="11"/>
  </w:num>
  <w:num w:numId="11" w16cid:durableId="1411002781">
    <w:abstractNumId w:val="17"/>
  </w:num>
  <w:num w:numId="12" w16cid:durableId="1800100597">
    <w:abstractNumId w:val="6"/>
  </w:num>
  <w:num w:numId="13" w16cid:durableId="147329139">
    <w:abstractNumId w:val="22"/>
  </w:num>
  <w:num w:numId="14" w16cid:durableId="899294739">
    <w:abstractNumId w:val="24"/>
  </w:num>
  <w:num w:numId="15" w16cid:durableId="1750691263">
    <w:abstractNumId w:val="0"/>
  </w:num>
  <w:num w:numId="16" w16cid:durableId="1670598171">
    <w:abstractNumId w:val="13"/>
  </w:num>
  <w:num w:numId="17" w16cid:durableId="699084139">
    <w:abstractNumId w:val="10"/>
  </w:num>
  <w:num w:numId="18" w16cid:durableId="503403611">
    <w:abstractNumId w:val="36"/>
  </w:num>
  <w:num w:numId="19" w16cid:durableId="252669086">
    <w:abstractNumId w:val="32"/>
  </w:num>
  <w:num w:numId="20" w16cid:durableId="23385970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0647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6757336">
    <w:abstractNumId w:val="29"/>
  </w:num>
  <w:num w:numId="23" w16cid:durableId="32770903">
    <w:abstractNumId w:val="3"/>
  </w:num>
  <w:num w:numId="24" w16cid:durableId="786973000">
    <w:abstractNumId w:val="1"/>
  </w:num>
  <w:num w:numId="25" w16cid:durableId="768549657">
    <w:abstractNumId w:val="4"/>
  </w:num>
  <w:num w:numId="26" w16cid:durableId="1490824942">
    <w:abstractNumId w:val="20"/>
  </w:num>
  <w:num w:numId="27" w16cid:durableId="2041709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458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7759494">
    <w:abstractNumId w:val="21"/>
  </w:num>
  <w:num w:numId="30" w16cid:durableId="1126461760">
    <w:abstractNumId w:val="12"/>
  </w:num>
  <w:num w:numId="31" w16cid:durableId="1747606212">
    <w:abstractNumId w:val="33"/>
  </w:num>
  <w:num w:numId="32" w16cid:durableId="513882757">
    <w:abstractNumId w:val="7"/>
  </w:num>
  <w:num w:numId="33" w16cid:durableId="1786076317">
    <w:abstractNumId w:val="37"/>
  </w:num>
  <w:num w:numId="34" w16cid:durableId="135492449">
    <w:abstractNumId w:val="25"/>
  </w:num>
  <w:num w:numId="35" w16cid:durableId="631711645">
    <w:abstractNumId w:val="14"/>
  </w:num>
  <w:num w:numId="36" w16cid:durableId="1888759510">
    <w:abstractNumId w:val="35"/>
  </w:num>
  <w:num w:numId="37" w16cid:durableId="1229148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453392">
    <w:abstractNumId w:val="9"/>
  </w:num>
  <w:num w:numId="39" w16cid:durableId="1468015786">
    <w:abstractNumId w:val="2"/>
  </w:num>
  <w:num w:numId="40" w16cid:durableId="1438477837">
    <w:abstractNumId w:val="38"/>
  </w:num>
  <w:num w:numId="41" w16cid:durableId="125242142">
    <w:abstractNumId w:val="19"/>
  </w:num>
  <w:num w:numId="42" w16cid:durableId="1707439780">
    <w:abstractNumId w:val="28"/>
  </w:num>
  <w:num w:numId="43" w16cid:durableId="1800881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05"/>
    <w:rsid w:val="00012EEE"/>
    <w:rsid w:val="00013102"/>
    <w:rsid w:val="00013A3D"/>
    <w:rsid w:val="00017F18"/>
    <w:rsid w:val="0003200F"/>
    <w:rsid w:val="00034D2B"/>
    <w:rsid w:val="00050F93"/>
    <w:rsid w:val="00055757"/>
    <w:rsid w:val="0007153E"/>
    <w:rsid w:val="00072F3D"/>
    <w:rsid w:val="000A0282"/>
    <w:rsid w:val="000B6F66"/>
    <w:rsid w:val="000C5574"/>
    <w:rsid w:val="000D6E53"/>
    <w:rsid w:val="000E5060"/>
    <w:rsid w:val="000F4A14"/>
    <w:rsid w:val="000F7E91"/>
    <w:rsid w:val="00101D5B"/>
    <w:rsid w:val="00107340"/>
    <w:rsid w:val="0012738B"/>
    <w:rsid w:val="00133083"/>
    <w:rsid w:val="00134250"/>
    <w:rsid w:val="001431A1"/>
    <w:rsid w:val="001574C9"/>
    <w:rsid w:val="00157554"/>
    <w:rsid w:val="00162F8C"/>
    <w:rsid w:val="00174F0F"/>
    <w:rsid w:val="00184444"/>
    <w:rsid w:val="00184503"/>
    <w:rsid w:val="00186998"/>
    <w:rsid w:val="00190F44"/>
    <w:rsid w:val="00192B58"/>
    <w:rsid w:val="001974E6"/>
    <w:rsid w:val="001B0681"/>
    <w:rsid w:val="001B4095"/>
    <w:rsid w:val="001C49B0"/>
    <w:rsid w:val="001C5A5E"/>
    <w:rsid w:val="001D22CE"/>
    <w:rsid w:val="001D491F"/>
    <w:rsid w:val="001D4F60"/>
    <w:rsid w:val="001D6A90"/>
    <w:rsid w:val="001D7F77"/>
    <w:rsid w:val="001E4550"/>
    <w:rsid w:val="001F231F"/>
    <w:rsid w:val="001F336A"/>
    <w:rsid w:val="001F51ED"/>
    <w:rsid w:val="00200B03"/>
    <w:rsid w:val="0020481B"/>
    <w:rsid w:val="00233310"/>
    <w:rsid w:val="00235BD9"/>
    <w:rsid w:val="0024023D"/>
    <w:rsid w:val="002477DA"/>
    <w:rsid w:val="00251DD2"/>
    <w:rsid w:val="00262ACC"/>
    <w:rsid w:val="002869BA"/>
    <w:rsid w:val="00287990"/>
    <w:rsid w:val="00294B71"/>
    <w:rsid w:val="002A5478"/>
    <w:rsid w:val="002A5A91"/>
    <w:rsid w:val="002B1AD1"/>
    <w:rsid w:val="002B44D6"/>
    <w:rsid w:val="002B72DD"/>
    <w:rsid w:val="002C79D4"/>
    <w:rsid w:val="002D346D"/>
    <w:rsid w:val="002E2C4C"/>
    <w:rsid w:val="00317B4F"/>
    <w:rsid w:val="003259EE"/>
    <w:rsid w:val="00326AAF"/>
    <w:rsid w:val="00326CFD"/>
    <w:rsid w:val="00346B4B"/>
    <w:rsid w:val="003507CA"/>
    <w:rsid w:val="00360B80"/>
    <w:rsid w:val="00374BA4"/>
    <w:rsid w:val="003A2444"/>
    <w:rsid w:val="003A40E9"/>
    <w:rsid w:val="003A5EF4"/>
    <w:rsid w:val="003A5FA5"/>
    <w:rsid w:val="003A63E5"/>
    <w:rsid w:val="003E5C68"/>
    <w:rsid w:val="00404D0B"/>
    <w:rsid w:val="00404F9C"/>
    <w:rsid w:val="0042149C"/>
    <w:rsid w:val="004236B2"/>
    <w:rsid w:val="00424845"/>
    <w:rsid w:val="00424DB3"/>
    <w:rsid w:val="00431537"/>
    <w:rsid w:val="00435FD5"/>
    <w:rsid w:val="004775EC"/>
    <w:rsid w:val="004849F1"/>
    <w:rsid w:val="00492E45"/>
    <w:rsid w:val="004A6779"/>
    <w:rsid w:val="004B4045"/>
    <w:rsid w:val="004D3C81"/>
    <w:rsid w:val="004E090D"/>
    <w:rsid w:val="004E15D5"/>
    <w:rsid w:val="004E478B"/>
    <w:rsid w:val="004E4E9B"/>
    <w:rsid w:val="004F152A"/>
    <w:rsid w:val="004F38E4"/>
    <w:rsid w:val="00501888"/>
    <w:rsid w:val="00501EE4"/>
    <w:rsid w:val="005036C4"/>
    <w:rsid w:val="00503DD5"/>
    <w:rsid w:val="00503E2C"/>
    <w:rsid w:val="0050518C"/>
    <w:rsid w:val="00506F37"/>
    <w:rsid w:val="00522EB1"/>
    <w:rsid w:val="00537C64"/>
    <w:rsid w:val="00546E56"/>
    <w:rsid w:val="0055738D"/>
    <w:rsid w:val="00561FC7"/>
    <w:rsid w:val="005637D5"/>
    <w:rsid w:val="00567B1F"/>
    <w:rsid w:val="00582333"/>
    <w:rsid w:val="005843E8"/>
    <w:rsid w:val="00587B70"/>
    <w:rsid w:val="005B2A6B"/>
    <w:rsid w:val="005B3D16"/>
    <w:rsid w:val="005B51B3"/>
    <w:rsid w:val="005B567C"/>
    <w:rsid w:val="005C13BD"/>
    <w:rsid w:val="005C7A17"/>
    <w:rsid w:val="005D0B21"/>
    <w:rsid w:val="005D3B14"/>
    <w:rsid w:val="005D6C54"/>
    <w:rsid w:val="005E2A92"/>
    <w:rsid w:val="005F046C"/>
    <w:rsid w:val="005F4036"/>
    <w:rsid w:val="005F5F9E"/>
    <w:rsid w:val="00601390"/>
    <w:rsid w:val="006170D5"/>
    <w:rsid w:val="00621E4F"/>
    <w:rsid w:val="00634316"/>
    <w:rsid w:val="0063726E"/>
    <w:rsid w:val="00640ED2"/>
    <w:rsid w:val="006525E9"/>
    <w:rsid w:val="00672463"/>
    <w:rsid w:val="00673146"/>
    <w:rsid w:val="0068645E"/>
    <w:rsid w:val="006A2115"/>
    <w:rsid w:val="006C1040"/>
    <w:rsid w:val="006D5E5D"/>
    <w:rsid w:val="006E0A19"/>
    <w:rsid w:val="006F148A"/>
    <w:rsid w:val="006F5AA7"/>
    <w:rsid w:val="007051C7"/>
    <w:rsid w:val="00707981"/>
    <w:rsid w:val="007133EB"/>
    <w:rsid w:val="007149A8"/>
    <w:rsid w:val="007243DA"/>
    <w:rsid w:val="00752462"/>
    <w:rsid w:val="007537C6"/>
    <w:rsid w:val="00754725"/>
    <w:rsid w:val="00755216"/>
    <w:rsid w:val="00795088"/>
    <w:rsid w:val="0079655D"/>
    <w:rsid w:val="007A0289"/>
    <w:rsid w:val="007A7436"/>
    <w:rsid w:val="007A7BC0"/>
    <w:rsid w:val="007D103A"/>
    <w:rsid w:val="007D79FE"/>
    <w:rsid w:val="007E0B4A"/>
    <w:rsid w:val="007E407E"/>
    <w:rsid w:val="007E6D82"/>
    <w:rsid w:val="007E7EE6"/>
    <w:rsid w:val="007F47D2"/>
    <w:rsid w:val="00812780"/>
    <w:rsid w:val="00822AA9"/>
    <w:rsid w:val="008244C4"/>
    <w:rsid w:val="0083129A"/>
    <w:rsid w:val="00833957"/>
    <w:rsid w:val="00850555"/>
    <w:rsid w:val="00861BC0"/>
    <w:rsid w:val="00862027"/>
    <w:rsid w:val="0088508F"/>
    <w:rsid w:val="008954C5"/>
    <w:rsid w:val="00896F5B"/>
    <w:rsid w:val="008B63A2"/>
    <w:rsid w:val="008C4D30"/>
    <w:rsid w:val="008C60CA"/>
    <w:rsid w:val="008D1022"/>
    <w:rsid w:val="008D1C38"/>
    <w:rsid w:val="008E3CC6"/>
    <w:rsid w:val="008F41EF"/>
    <w:rsid w:val="008F611C"/>
    <w:rsid w:val="008F6F95"/>
    <w:rsid w:val="0090671F"/>
    <w:rsid w:val="00921F2B"/>
    <w:rsid w:val="0093703D"/>
    <w:rsid w:val="00940A85"/>
    <w:rsid w:val="00957AC3"/>
    <w:rsid w:val="009664CA"/>
    <w:rsid w:val="00975DBA"/>
    <w:rsid w:val="00983131"/>
    <w:rsid w:val="009860DE"/>
    <w:rsid w:val="009A1FD0"/>
    <w:rsid w:val="009B23F8"/>
    <w:rsid w:val="009E3811"/>
    <w:rsid w:val="009E5204"/>
    <w:rsid w:val="009F3CE8"/>
    <w:rsid w:val="009F49A5"/>
    <w:rsid w:val="00A226B6"/>
    <w:rsid w:val="00A24770"/>
    <w:rsid w:val="00A27AF1"/>
    <w:rsid w:val="00A332F3"/>
    <w:rsid w:val="00A34F99"/>
    <w:rsid w:val="00A42889"/>
    <w:rsid w:val="00A51C9A"/>
    <w:rsid w:val="00A53983"/>
    <w:rsid w:val="00A572E3"/>
    <w:rsid w:val="00A60455"/>
    <w:rsid w:val="00A6149C"/>
    <w:rsid w:val="00A63C45"/>
    <w:rsid w:val="00A67150"/>
    <w:rsid w:val="00A83093"/>
    <w:rsid w:val="00A830CD"/>
    <w:rsid w:val="00A87811"/>
    <w:rsid w:val="00A91FC2"/>
    <w:rsid w:val="00A92B83"/>
    <w:rsid w:val="00AA0162"/>
    <w:rsid w:val="00AD4233"/>
    <w:rsid w:val="00AE03ED"/>
    <w:rsid w:val="00AE6956"/>
    <w:rsid w:val="00AF139A"/>
    <w:rsid w:val="00AF3BF9"/>
    <w:rsid w:val="00B125A4"/>
    <w:rsid w:val="00B2065C"/>
    <w:rsid w:val="00B24149"/>
    <w:rsid w:val="00B31162"/>
    <w:rsid w:val="00B422A8"/>
    <w:rsid w:val="00B50F90"/>
    <w:rsid w:val="00B524EE"/>
    <w:rsid w:val="00B55189"/>
    <w:rsid w:val="00B56783"/>
    <w:rsid w:val="00B75500"/>
    <w:rsid w:val="00B80246"/>
    <w:rsid w:val="00BA3ED5"/>
    <w:rsid w:val="00BC0D2B"/>
    <w:rsid w:val="00BC225E"/>
    <w:rsid w:val="00BC2DE0"/>
    <w:rsid w:val="00BD0CD7"/>
    <w:rsid w:val="00BD5290"/>
    <w:rsid w:val="00BE102B"/>
    <w:rsid w:val="00BE3F49"/>
    <w:rsid w:val="00BF0B85"/>
    <w:rsid w:val="00BF1E5D"/>
    <w:rsid w:val="00BF4AB8"/>
    <w:rsid w:val="00C04032"/>
    <w:rsid w:val="00C04D47"/>
    <w:rsid w:val="00C12291"/>
    <w:rsid w:val="00C14405"/>
    <w:rsid w:val="00C14406"/>
    <w:rsid w:val="00C211BA"/>
    <w:rsid w:val="00C243BC"/>
    <w:rsid w:val="00C24CA0"/>
    <w:rsid w:val="00C25CAA"/>
    <w:rsid w:val="00C25EDA"/>
    <w:rsid w:val="00C3146C"/>
    <w:rsid w:val="00C329E4"/>
    <w:rsid w:val="00C32FF3"/>
    <w:rsid w:val="00C35473"/>
    <w:rsid w:val="00C36B92"/>
    <w:rsid w:val="00C45CD1"/>
    <w:rsid w:val="00C601D8"/>
    <w:rsid w:val="00C766F8"/>
    <w:rsid w:val="00C76793"/>
    <w:rsid w:val="00C77C19"/>
    <w:rsid w:val="00C8579B"/>
    <w:rsid w:val="00C96EAF"/>
    <w:rsid w:val="00CA1655"/>
    <w:rsid w:val="00CA66F6"/>
    <w:rsid w:val="00CB6756"/>
    <w:rsid w:val="00CC54F7"/>
    <w:rsid w:val="00CE33A1"/>
    <w:rsid w:val="00CE61EB"/>
    <w:rsid w:val="00CF67C2"/>
    <w:rsid w:val="00D009FD"/>
    <w:rsid w:val="00D04B03"/>
    <w:rsid w:val="00D07955"/>
    <w:rsid w:val="00D23994"/>
    <w:rsid w:val="00D247C0"/>
    <w:rsid w:val="00D433B2"/>
    <w:rsid w:val="00D447E6"/>
    <w:rsid w:val="00D5143C"/>
    <w:rsid w:val="00D56D2A"/>
    <w:rsid w:val="00D63871"/>
    <w:rsid w:val="00D63B01"/>
    <w:rsid w:val="00D63DDB"/>
    <w:rsid w:val="00D644C1"/>
    <w:rsid w:val="00D64C68"/>
    <w:rsid w:val="00D81949"/>
    <w:rsid w:val="00D907D8"/>
    <w:rsid w:val="00DA3C95"/>
    <w:rsid w:val="00DA56E3"/>
    <w:rsid w:val="00DA6744"/>
    <w:rsid w:val="00DB0C55"/>
    <w:rsid w:val="00DB705F"/>
    <w:rsid w:val="00DB7A59"/>
    <w:rsid w:val="00DD7172"/>
    <w:rsid w:val="00DE2C75"/>
    <w:rsid w:val="00DE4A60"/>
    <w:rsid w:val="00DF768A"/>
    <w:rsid w:val="00E0521A"/>
    <w:rsid w:val="00E07B84"/>
    <w:rsid w:val="00E103D7"/>
    <w:rsid w:val="00E10953"/>
    <w:rsid w:val="00E22A2E"/>
    <w:rsid w:val="00E2418B"/>
    <w:rsid w:val="00E2558B"/>
    <w:rsid w:val="00E417DC"/>
    <w:rsid w:val="00E43F22"/>
    <w:rsid w:val="00E43F39"/>
    <w:rsid w:val="00E51645"/>
    <w:rsid w:val="00E529FA"/>
    <w:rsid w:val="00E52B9C"/>
    <w:rsid w:val="00E56AA8"/>
    <w:rsid w:val="00E710BC"/>
    <w:rsid w:val="00E73B2E"/>
    <w:rsid w:val="00E81ABC"/>
    <w:rsid w:val="00E8432D"/>
    <w:rsid w:val="00E964AC"/>
    <w:rsid w:val="00EA5E3A"/>
    <w:rsid w:val="00EA5FD0"/>
    <w:rsid w:val="00EB351B"/>
    <w:rsid w:val="00EB4627"/>
    <w:rsid w:val="00EC4408"/>
    <w:rsid w:val="00EE12FC"/>
    <w:rsid w:val="00EF72C3"/>
    <w:rsid w:val="00F04289"/>
    <w:rsid w:val="00F11823"/>
    <w:rsid w:val="00F14286"/>
    <w:rsid w:val="00F16D3B"/>
    <w:rsid w:val="00F32E24"/>
    <w:rsid w:val="00F3760A"/>
    <w:rsid w:val="00F50E2E"/>
    <w:rsid w:val="00F5647E"/>
    <w:rsid w:val="00F621F7"/>
    <w:rsid w:val="00F8120D"/>
    <w:rsid w:val="00F81FF7"/>
    <w:rsid w:val="00F82691"/>
    <w:rsid w:val="00F87EBE"/>
    <w:rsid w:val="00F94F5E"/>
    <w:rsid w:val="00FA1AC5"/>
    <w:rsid w:val="00FB10CE"/>
    <w:rsid w:val="00FB1120"/>
    <w:rsid w:val="00FB3903"/>
    <w:rsid w:val="00FB57C5"/>
    <w:rsid w:val="00FB5963"/>
    <w:rsid w:val="00FB64AC"/>
    <w:rsid w:val="00FC6FB5"/>
    <w:rsid w:val="00FD4B18"/>
    <w:rsid w:val="00FE35D7"/>
    <w:rsid w:val="00FF093F"/>
    <w:rsid w:val="00FF1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3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90F44"/>
    <w:rPr>
      <w:sz w:val="24"/>
      <w:szCs w:val="24"/>
    </w:rPr>
  </w:style>
  <w:style w:type="paragraph" w:styleId="Heading1">
    <w:name w:val="heading 1"/>
    <w:basedOn w:val="Normal"/>
    <w:next w:val="Normal"/>
    <w:qFormat/>
    <w:rsid w:val="00640ED2"/>
    <w:pPr>
      <w:keepNext/>
      <w:numPr>
        <w:numId w:val="1"/>
      </w:numPr>
      <w:spacing w:before="120" w:after="120"/>
      <w:outlineLvl w:val="0"/>
    </w:pPr>
    <w:rPr>
      <w:b/>
      <w:sz w:val="28"/>
      <w:szCs w:val="28"/>
    </w:rPr>
  </w:style>
  <w:style w:type="paragraph" w:styleId="Heading2">
    <w:name w:val="heading 2"/>
    <w:basedOn w:val="Normal"/>
    <w:next w:val="Normal"/>
    <w:qFormat/>
    <w:pPr>
      <w:keepNext/>
      <w:numPr>
        <w:ilvl w:val="1"/>
        <w:numId w:val="1"/>
      </w:numPr>
      <w:spacing w:before="120" w:after="120"/>
      <w:outlineLvl w:val="1"/>
    </w:pPr>
    <w:rPr>
      <w:b/>
      <w:i/>
    </w:rPr>
  </w:style>
  <w:style w:type="paragraph" w:styleId="Heading3">
    <w:name w:val="heading 3"/>
    <w:basedOn w:val="Normal"/>
    <w:next w:val="Normal"/>
    <w:autoRedefine/>
    <w:qFormat/>
    <w:rsid w:val="00640ED2"/>
    <w:pPr>
      <w:keepNext/>
      <w:numPr>
        <w:ilvl w:val="2"/>
        <w:numId w:val="1"/>
      </w:numPr>
      <w:spacing w:before="120" w:after="120"/>
      <w:jc w:val="both"/>
      <w:outlineLvl w:val="2"/>
    </w:pPr>
    <w:rPr>
      <w:b/>
    </w:rPr>
  </w:style>
  <w:style w:type="paragraph" w:styleId="Heading4">
    <w:name w:val="heading 4"/>
    <w:basedOn w:val="Normal"/>
    <w:next w:val="Normal"/>
    <w:qFormat/>
    <w:pPr>
      <w:keepNext/>
      <w:numPr>
        <w:ilvl w:val="3"/>
        <w:numId w:val="1"/>
      </w:numPr>
      <w:jc w:val="both"/>
      <w:outlineLvl w:val="3"/>
    </w:pPr>
  </w:style>
  <w:style w:type="paragraph" w:styleId="Heading5">
    <w:name w:val="heading 5"/>
    <w:basedOn w:val="Normal"/>
    <w:next w:val="Normal"/>
    <w:qFormat/>
    <w:pPr>
      <w:keepNext/>
      <w:numPr>
        <w:ilvl w:val="4"/>
        <w:numId w:val="1"/>
      </w:numPr>
      <w:jc w:val="center"/>
      <w:outlineLvl w:val="4"/>
    </w:pPr>
    <w:rPr>
      <w:rFonts w:ascii="Arial" w:hAnsi="Arial"/>
    </w:rPr>
  </w:style>
  <w:style w:type="paragraph" w:styleId="Heading6">
    <w:name w:val="heading 6"/>
    <w:basedOn w:val="Normal"/>
    <w:next w:val="Normal"/>
    <w:qFormat/>
    <w:pPr>
      <w:keepNext/>
      <w:numPr>
        <w:ilvl w:val="5"/>
        <w:numId w:val="1"/>
      </w:numPr>
      <w:outlineLvl w:val="5"/>
    </w:pPr>
    <w:rPr>
      <w:rFonts w:ascii="Arial" w:hAnsi="Arial"/>
      <w:b/>
    </w:rPr>
  </w:style>
  <w:style w:type="paragraph" w:styleId="Heading7">
    <w:name w:val="heading 7"/>
    <w:basedOn w:val="Normal"/>
    <w:next w:val="Normal"/>
    <w:qFormat/>
    <w:pPr>
      <w:keepNext/>
      <w:numPr>
        <w:ilvl w:val="6"/>
        <w:numId w:val="4"/>
      </w:numPr>
      <w:outlineLvl w:val="6"/>
    </w:pPr>
    <w:rPr>
      <w:b/>
      <w:bCs/>
      <w:sz w:val="22"/>
      <w:szCs w:val="22"/>
    </w:r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tabs>
        <w:tab w:val="left" w:pos="440"/>
      </w:tabs>
    </w:pPr>
    <w:rPr>
      <w:rFonts w:ascii="New York" w:hAnsi="New York"/>
    </w:rPr>
  </w:style>
  <w:style w:type="paragraph" w:customStyle="1" w:styleId="one">
    <w:name w:val="one"/>
    <w:basedOn w:val="Normal"/>
    <w:pPr>
      <w:tabs>
        <w:tab w:val="left" w:pos="620"/>
      </w:tabs>
    </w:pPr>
    <w:rPr>
      <w:rFonts w:ascii="New York" w:hAnsi="New York"/>
    </w:rPr>
  </w:style>
  <w:style w:type="paragraph" w:styleId="Signature">
    <w:name w:val="Signature"/>
    <w:basedOn w:val="Normal"/>
    <w:pPr>
      <w:tabs>
        <w:tab w:val="right" w:pos="3960"/>
        <w:tab w:val="left" w:pos="4680"/>
        <w:tab w:val="right" w:pos="8640"/>
      </w:tabs>
    </w:pPr>
    <w:rPr>
      <w:rFonts w:ascii="New York" w:hAnsi="New York"/>
    </w:rPr>
  </w:style>
  <w:style w:type="paragraph" w:styleId="BodyTextIndent">
    <w:name w:val="Body Text Indent"/>
    <w:basedOn w:val="Normal"/>
    <w:pPr>
      <w:ind w:firstLine="720"/>
      <w:jc w:val="both"/>
    </w:pPr>
    <w:rPr>
      <w:rFonts w:ascii="Arial" w:hAnsi="Arial"/>
      <w:sz w:val="28"/>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rPr>
      <w:sz w:val="16"/>
    </w:rPr>
  </w:style>
  <w:style w:type="paragraph" w:styleId="BodyTextIndent2">
    <w:name w:val="Body Text Indent 2"/>
    <w:basedOn w:val="Normal"/>
    <w:pPr>
      <w:ind w:firstLine="720"/>
      <w:jc w:val="both"/>
    </w:pPr>
    <w:rPr>
      <w:rFonts w:ascii="Arial" w:hAnsi="Arial"/>
    </w:rPr>
  </w:style>
  <w:style w:type="paragraph" w:styleId="BodyText">
    <w:name w:val="Body Text"/>
    <w:basedOn w:val="Normal"/>
    <w:rPr>
      <w:b/>
      <w:sz w:val="40"/>
    </w:rPr>
  </w:style>
  <w:style w:type="paragraph" w:styleId="Title">
    <w:name w:val="Title"/>
    <w:basedOn w:val="Normal"/>
    <w:qFormat/>
    <w:pPr>
      <w:spacing w:before="240" w:after="60"/>
      <w:jc w:val="center"/>
      <w:outlineLvl w:val="0"/>
    </w:pPr>
    <w:rPr>
      <w:rFonts w:ascii="Arial" w:hAnsi="Arial"/>
      <w:b/>
      <w:kern w:val="28"/>
      <w:sz w:val="32"/>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4050"/>
      </w:tabs>
      <w:ind w:firstLine="432"/>
    </w:pPr>
  </w:style>
  <w:style w:type="paragraph" w:customStyle="1" w:styleId="Paragraph">
    <w:name w:val="Paragraph"/>
    <w:basedOn w:val="BodyText"/>
    <w:pPr>
      <w:widowControl w:val="0"/>
      <w:spacing w:before="80" w:line="240" w:lineRule="exact"/>
    </w:pPr>
    <w:rPr>
      <w:rFonts w:ascii="Times" w:hAnsi="Times"/>
      <w:b w:val="0"/>
      <w:sz w:val="20"/>
    </w:rPr>
  </w:style>
  <w:style w:type="character" w:styleId="Hyperlink">
    <w:name w:val="Hyperlink"/>
    <w:uiPriority w:val="99"/>
    <w:rPr>
      <w:color w:val="0000FF"/>
      <w:u w:val="single"/>
    </w:rPr>
  </w:style>
  <w:style w:type="paragraph" w:styleId="EndnoteText">
    <w:name w:val="endnote text"/>
    <w:basedOn w:val="Normal"/>
    <w:semiHidden/>
    <w:pPr>
      <w:ind w:left="288" w:hanging="288"/>
    </w:pPr>
  </w:style>
  <w:style w:type="character" w:styleId="EndnoteReference">
    <w:name w:val="endnote reference"/>
    <w:semiHidden/>
    <w:rPr>
      <w:bdr w:val="none" w:sz="0" w:space="0" w:color="auto"/>
      <w:vertAlign w:val="superscript"/>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6">
    <w:name w:val="xl26"/>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rPr>
  </w:style>
  <w:style w:type="paragraph" w:customStyle="1" w:styleId="xl27">
    <w:name w:val="xl27"/>
    <w:basedOn w:val="Normal"/>
    <w:pPr>
      <w:pBdr>
        <w:bottom w:val="single" w:sz="4" w:space="0" w:color="auto"/>
        <w:right w:val="single" w:sz="4" w:space="0" w:color="auto"/>
      </w:pBdr>
      <w:spacing w:before="100" w:beforeAutospacing="1" w:after="100" w:afterAutospacing="1"/>
      <w:jc w:val="center"/>
    </w:pPr>
    <w:rPr>
      <w:rFonts w:eastAsia="Arial Unicode MS"/>
      <w:b/>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0">
    <w:name w:val="xl3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b/>
      <w:sz w:val="20"/>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b/>
      <w:sz w:val="20"/>
    </w:rPr>
  </w:style>
  <w:style w:type="paragraph" w:customStyle="1" w:styleId="xl33">
    <w:name w:val="xl33"/>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rPr>
  </w:style>
  <w:style w:type="paragraph" w:customStyle="1" w:styleId="xl34">
    <w:name w:val="xl34"/>
    <w:basedOn w:val="Normal"/>
    <w:pPr>
      <w:pBdr>
        <w:left w:val="single" w:sz="8" w:space="0" w:color="auto"/>
        <w:bottom w:val="single" w:sz="8" w:space="0" w:color="auto"/>
        <w:right w:val="single" w:sz="8" w:space="0" w:color="auto"/>
      </w:pBdr>
      <w:spacing w:before="100" w:beforeAutospacing="1" w:after="100" w:afterAutospacing="1"/>
      <w:jc w:val="center"/>
    </w:pPr>
    <w:rPr>
      <w:rFonts w:eastAsia="Arial Unicode MS"/>
      <w:b/>
    </w:rPr>
  </w:style>
  <w:style w:type="paragraph" w:customStyle="1" w:styleId="xl35">
    <w:name w:val="xl35"/>
    <w:basedOn w:val="Normal"/>
    <w:pPr>
      <w:spacing w:before="100" w:beforeAutospacing="1" w:after="100" w:afterAutospacing="1"/>
      <w:jc w:val="center"/>
    </w:pPr>
    <w:rPr>
      <w:rFonts w:eastAsia="Arial Unicode MS"/>
      <w:b/>
    </w:r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rPr>
  </w:style>
  <w:style w:type="paragraph" w:styleId="BodyText2">
    <w:name w:val="Body Text 2"/>
    <w:basedOn w:val="Normal"/>
    <w:pPr>
      <w:tabs>
        <w:tab w:val="left" w:pos="620"/>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spacing w:before="120" w:after="120"/>
      <w:jc w:val="center"/>
    </w:pPr>
    <w:rPr>
      <w:b/>
      <w:bCs/>
      <w:sz w:val="20"/>
    </w:rPr>
  </w:style>
  <w:style w:type="paragraph" w:customStyle="1" w:styleId="xl37">
    <w:name w:val="xl37"/>
    <w:basedOn w:val="Normal"/>
    <w:pPr>
      <w:shd w:val="clear" w:color="auto" w:fill="99CCFF"/>
      <w:spacing w:before="100" w:beforeAutospacing="1" w:after="100" w:afterAutospacing="1"/>
      <w:jc w:val="center"/>
    </w:pPr>
    <w:rPr>
      <w:rFonts w:ascii="Arial Unicode MS" w:eastAsia="Arial Unicode MS" w:hAnsi="Arial Unicode MS" w:cs="Arial Unicode MS"/>
      <w:b/>
      <w:bCs/>
      <w:color w:val="000080"/>
    </w:rPr>
  </w:style>
  <w:style w:type="paragraph" w:customStyle="1" w:styleId="xl38">
    <w:name w:val="xl38"/>
    <w:basedOn w:val="Normal"/>
    <w:pPr>
      <w:shd w:val="clear" w:color="auto" w:fill="FFFFFF"/>
      <w:spacing w:before="100" w:beforeAutospacing="1" w:after="100" w:afterAutospacing="1"/>
      <w:jc w:val="center"/>
    </w:pPr>
    <w:rPr>
      <w:rFonts w:ascii="Arial Unicode MS" w:eastAsia="Arial Unicode MS" w:hAnsi="Arial Unicode MS" w:cs="Arial Unicode MS"/>
      <w:b/>
      <w:bCs/>
      <w:color w:val="000080"/>
    </w:rPr>
  </w:style>
  <w:style w:type="paragraph" w:customStyle="1" w:styleId="xl39">
    <w:name w:val="xl39"/>
    <w:basedOn w:val="Normal"/>
    <w:pPr>
      <w:shd w:val="clear" w:color="auto" w:fill="FFFF99"/>
      <w:spacing w:before="100" w:beforeAutospacing="1" w:after="100" w:afterAutospacing="1"/>
      <w:jc w:val="center"/>
    </w:pPr>
    <w:rPr>
      <w:rFonts w:ascii="Arial Unicode MS" w:eastAsia="Arial Unicode MS" w:hAnsi="Arial Unicode MS" w:cs="Arial Unicode MS"/>
      <w:b/>
      <w:bCs/>
      <w:color w:val="000080"/>
    </w:rPr>
  </w:style>
  <w:style w:type="paragraph" w:customStyle="1" w:styleId="xl40">
    <w:name w:val="xl40"/>
    <w:basedOn w:val="Normal"/>
    <w:pPr>
      <w:shd w:val="clear" w:color="auto" w:fill="FFFFFF"/>
      <w:spacing w:before="100" w:beforeAutospacing="1" w:after="100" w:afterAutospacing="1"/>
      <w:ind w:firstLineChars="100" w:firstLine="100"/>
    </w:pPr>
    <w:rPr>
      <w:rFonts w:ascii="Arial Unicode MS" w:eastAsia="Arial Unicode MS" w:hAnsi="Arial Unicode MS" w:cs="Arial Unicode MS"/>
      <w:b/>
      <w:bCs/>
      <w:color w:val="000080"/>
    </w:rPr>
  </w:style>
  <w:style w:type="paragraph" w:customStyle="1" w:styleId="xl41">
    <w:name w:val="xl41"/>
    <w:basedOn w:val="Normal"/>
    <w:pPr>
      <w:shd w:val="clear" w:color="auto" w:fill="99CCFF"/>
      <w:spacing w:before="100" w:beforeAutospacing="1" w:after="100" w:afterAutospacing="1"/>
      <w:ind w:firstLineChars="100" w:firstLine="100"/>
    </w:pPr>
    <w:rPr>
      <w:rFonts w:ascii="Arial Unicode MS" w:eastAsia="Arial Unicode MS" w:hAnsi="Arial Unicode MS" w:cs="Arial Unicode MS"/>
      <w:b/>
      <w:bCs/>
      <w:color w:val="000080"/>
    </w:rPr>
  </w:style>
  <w:style w:type="paragraph" w:customStyle="1" w:styleId="xl42">
    <w:name w:val="xl42"/>
    <w:basedOn w:val="Normal"/>
    <w:pPr>
      <w:shd w:val="clear" w:color="auto" w:fill="FFFF99"/>
      <w:spacing w:before="100" w:beforeAutospacing="1" w:after="100" w:afterAutospacing="1"/>
      <w:jc w:val="right"/>
    </w:pPr>
    <w:rPr>
      <w:rFonts w:ascii="Arial Unicode MS" w:eastAsia="Arial Unicode MS" w:hAnsi="Arial Unicode MS" w:cs="Arial Unicode MS"/>
      <w:b/>
      <w:bCs/>
    </w:rPr>
  </w:style>
  <w:style w:type="paragraph" w:customStyle="1" w:styleId="xl43">
    <w:name w:val="xl43"/>
    <w:basedOn w:val="Normal"/>
    <w:pPr>
      <w:shd w:val="clear" w:color="auto" w:fill="FF99CC"/>
      <w:spacing w:before="100" w:beforeAutospacing="1" w:after="100" w:afterAutospacing="1"/>
      <w:jc w:val="right"/>
    </w:pPr>
    <w:rPr>
      <w:rFonts w:ascii="Arial Unicode MS" w:eastAsia="Arial Unicode MS" w:hAnsi="Arial Unicode MS" w:cs="Arial Unicode MS"/>
      <w:b/>
      <w:bCs/>
    </w:rPr>
  </w:style>
  <w:style w:type="paragraph" w:customStyle="1" w:styleId="xl44">
    <w:name w:val="xl44"/>
    <w:basedOn w:val="Normal"/>
    <w:pPr>
      <w:spacing w:before="100" w:beforeAutospacing="1" w:after="100" w:afterAutospacing="1"/>
      <w:jc w:val="right"/>
    </w:pPr>
    <w:rPr>
      <w:rFonts w:ascii="Arial Unicode MS" w:eastAsia="Arial Unicode MS" w:hAnsi="Arial Unicode MS" w:cs="Arial Unicode MS"/>
      <w:b/>
      <w:bCs/>
    </w:rPr>
  </w:style>
  <w:style w:type="paragraph" w:customStyle="1" w:styleId="xl45">
    <w:name w:val="xl45"/>
    <w:basedOn w:val="Normal"/>
    <w:pPr>
      <w:shd w:val="clear" w:color="auto" w:fill="99CCFF"/>
      <w:spacing w:before="100" w:beforeAutospacing="1" w:after="100" w:afterAutospacing="1"/>
    </w:pPr>
    <w:rPr>
      <w:rFonts w:ascii="Arial Unicode MS" w:eastAsia="Arial Unicode MS" w:hAnsi="Arial Unicode MS" w:cs="Arial Unicode MS"/>
      <w:b/>
      <w:bCs/>
      <w:color w:val="000080"/>
    </w:rPr>
  </w:style>
  <w:style w:type="paragraph" w:customStyle="1" w:styleId="xl46">
    <w:name w:val="xl46"/>
    <w:basedOn w:val="Normal"/>
    <w:pPr>
      <w:shd w:val="clear" w:color="auto" w:fill="CCFFCC"/>
      <w:spacing w:before="100" w:beforeAutospacing="1" w:after="100" w:afterAutospacing="1"/>
      <w:jc w:val="right"/>
    </w:pPr>
    <w:rPr>
      <w:rFonts w:ascii="Arial Unicode MS" w:eastAsia="Arial Unicode MS" w:hAnsi="Arial Unicode MS" w:cs="Arial Unicode MS"/>
      <w:b/>
      <w:bCs/>
    </w:rPr>
  </w:style>
  <w:style w:type="paragraph" w:customStyle="1" w:styleId="xl47">
    <w:name w:val="xl47"/>
    <w:basedOn w:val="Normal"/>
    <w:pPr>
      <w:shd w:val="clear" w:color="auto" w:fill="FFFFFF"/>
      <w:spacing w:before="100" w:beforeAutospacing="1" w:after="100" w:afterAutospacing="1"/>
      <w:jc w:val="right"/>
    </w:pPr>
    <w:rPr>
      <w:rFonts w:ascii="Arial Unicode MS" w:eastAsia="Arial Unicode MS" w:hAnsi="Arial Unicode MS" w:cs="Arial Unicode MS"/>
      <w:b/>
      <w:bCs/>
    </w:rPr>
  </w:style>
  <w:style w:type="paragraph" w:customStyle="1" w:styleId="xl48">
    <w:name w:val="xl48"/>
    <w:basedOn w:val="Normal"/>
    <w:pPr>
      <w:shd w:val="clear" w:color="auto" w:fill="FFFFFF"/>
      <w:spacing w:before="100" w:beforeAutospacing="1" w:after="100" w:afterAutospacing="1"/>
      <w:jc w:val="right"/>
    </w:pPr>
    <w:rPr>
      <w:rFonts w:ascii="Arial Unicode MS" w:eastAsia="Arial Unicode MS" w:hAnsi="Arial Unicode MS" w:cs="Arial Unicode MS"/>
      <w:b/>
      <w:bCs/>
      <w:sz w:val="18"/>
      <w:szCs w:val="18"/>
    </w:rPr>
  </w:style>
  <w:style w:type="paragraph" w:customStyle="1" w:styleId="xl49">
    <w:name w:val="xl49"/>
    <w:basedOn w:val="Normal"/>
    <w:pPr>
      <w:shd w:val="clear" w:color="auto" w:fill="FFFFFF"/>
      <w:spacing w:before="100" w:beforeAutospacing="1" w:after="100" w:afterAutospacing="1"/>
      <w:jc w:val="right"/>
    </w:pPr>
    <w:rPr>
      <w:rFonts w:ascii="Arial Unicode MS" w:eastAsia="Arial Unicode MS" w:hAnsi="Arial Unicode MS" w:cs="Arial Unicode MS"/>
      <w:b/>
      <w:bCs/>
    </w:rPr>
  </w:style>
  <w:style w:type="paragraph" w:customStyle="1" w:styleId="xl50">
    <w:name w:val="xl50"/>
    <w:basedOn w:val="Normal"/>
    <w:pPr>
      <w:shd w:val="clear" w:color="auto" w:fill="FFFF99"/>
      <w:spacing w:before="100" w:beforeAutospacing="1" w:after="100" w:afterAutospacing="1"/>
      <w:jc w:val="right"/>
    </w:pPr>
    <w:rPr>
      <w:rFonts w:ascii="Arial Unicode MS" w:eastAsia="Arial Unicode MS" w:hAnsi="Arial Unicode MS" w:cs="Arial Unicode MS"/>
      <w:b/>
      <w:bCs/>
    </w:rPr>
  </w:style>
  <w:style w:type="paragraph" w:customStyle="1" w:styleId="xl51">
    <w:name w:val="xl51"/>
    <w:basedOn w:val="Normal"/>
    <w:pPr>
      <w:shd w:val="clear" w:color="auto" w:fill="99CCFF"/>
      <w:spacing w:before="100" w:beforeAutospacing="1" w:after="100" w:afterAutospacing="1"/>
      <w:jc w:val="right"/>
    </w:pPr>
    <w:rPr>
      <w:rFonts w:ascii="Arial Unicode MS" w:eastAsia="Arial Unicode MS" w:hAnsi="Arial Unicode MS" w:cs="Arial Unicode MS"/>
      <w:b/>
      <w:bCs/>
      <w:color w:val="000080"/>
    </w:rPr>
  </w:style>
  <w:style w:type="paragraph" w:customStyle="1" w:styleId="xl52">
    <w:name w:val="xl52"/>
    <w:basedOn w:val="Normal"/>
    <w:pPr>
      <w:shd w:val="clear" w:color="auto" w:fill="FFFF99"/>
      <w:spacing w:before="100" w:beforeAutospacing="1" w:after="100" w:afterAutospacing="1"/>
      <w:jc w:val="right"/>
    </w:pPr>
    <w:rPr>
      <w:rFonts w:ascii="Arial" w:eastAsia="Arial Unicode MS" w:hAnsi="Arial" w:cs="Arial"/>
      <w:b/>
      <w:bCs/>
      <w:color w:val="000080"/>
    </w:rPr>
  </w:style>
  <w:style w:type="paragraph" w:customStyle="1" w:styleId="xl53">
    <w:name w:val="xl53"/>
    <w:basedOn w:val="Normal"/>
    <w:pPr>
      <w:shd w:val="clear" w:color="auto" w:fill="FF99CC"/>
      <w:spacing w:before="100" w:beforeAutospacing="1" w:after="100" w:afterAutospacing="1"/>
      <w:jc w:val="right"/>
    </w:pPr>
    <w:rPr>
      <w:rFonts w:ascii="Arial" w:eastAsia="Arial Unicode MS" w:hAnsi="Arial" w:cs="Arial"/>
      <w:b/>
      <w:bCs/>
      <w:color w:val="000080"/>
    </w:rPr>
  </w:style>
  <w:style w:type="paragraph" w:customStyle="1" w:styleId="xl54">
    <w:name w:val="xl54"/>
    <w:basedOn w:val="Normal"/>
    <w:pPr>
      <w:shd w:val="clear" w:color="auto" w:fill="CCFFCC"/>
      <w:spacing w:before="100" w:beforeAutospacing="1" w:after="100" w:afterAutospacing="1"/>
      <w:jc w:val="right"/>
    </w:pPr>
    <w:rPr>
      <w:rFonts w:ascii="Arial" w:eastAsia="Arial Unicode MS" w:hAnsi="Arial" w:cs="Arial"/>
      <w:b/>
      <w:bCs/>
      <w:color w:val="000080"/>
    </w:rPr>
  </w:style>
  <w:style w:type="paragraph" w:customStyle="1" w:styleId="xl55">
    <w:name w:val="xl55"/>
    <w:basedOn w:val="Normal"/>
    <w:pPr>
      <w:shd w:val="clear" w:color="auto" w:fill="FFFFFF"/>
      <w:spacing w:before="100" w:beforeAutospacing="1" w:after="100" w:afterAutospacing="1"/>
      <w:jc w:val="center"/>
    </w:pPr>
    <w:rPr>
      <w:rFonts w:ascii="Arial" w:eastAsia="Arial Unicode MS" w:hAnsi="Arial" w:cs="Arial"/>
      <w:b/>
      <w:bCs/>
      <w:color w:val="000080"/>
    </w:rPr>
  </w:style>
  <w:style w:type="paragraph" w:customStyle="1" w:styleId="xl56">
    <w:name w:val="xl56"/>
    <w:basedOn w:val="Normal"/>
    <w:pPr>
      <w:shd w:val="clear" w:color="auto" w:fill="FFFFFF"/>
      <w:spacing w:before="100" w:beforeAutospacing="1" w:after="100" w:afterAutospacing="1"/>
    </w:pPr>
    <w:rPr>
      <w:rFonts w:ascii="Arial" w:eastAsia="Arial Unicode MS" w:hAnsi="Arial" w:cs="Arial"/>
    </w:rPr>
  </w:style>
  <w:style w:type="paragraph" w:customStyle="1" w:styleId="xl57">
    <w:name w:val="xl57"/>
    <w:basedOn w:val="Normal"/>
    <w:pPr>
      <w:shd w:val="clear" w:color="auto" w:fill="FFFFFF"/>
      <w:spacing w:before="100" w:beforeAutospacing="1" w:after="100" w:afterAutospacing="1"/>
    </w:pPr>
    <w:rPr>
      <w:rFonts w:ascii="Arial" w:eastAsia="Arial Unicode MS" w:hAnsi="Arial" w:cs="Arial"/>
      <w:b/>
      <w:bCs/>
      <w:i/>
      <w:iCs/>
    </w:rPr>
  </w:style>
  <w:style w:type="paragraph" w:customStyle="1" w:styleId="xl58">
    <w:name w:val="xl58"/>
    <w:basedOn w:val="Normal"/>
    <w:pPr>
      <w:shd w:val="clear" w:color="auto" w:fill="FFFFFF"/>
      <w:spacing w:before="100" w:beforeAutospacing="1" w:after="100" w:afterAutospacing="1"/>
    </w:pPr>
    <w:rPr>
      <w:rFonts w:ascii="Arial" w:eastAsia="Arial Unicode MS" w:hAnsi="Arial" w:cs="Arial"/>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3">
    <w:name w:val="Body Text 3"/>
    <w:basedOn w:val="Normal"/>
  </w:style>
  <w:style w:type="paragraph" w:styleId="TableofFigures">
    <w:name w:val="table of figures"/>
    <w:basedOn w:val="Normal"/>
    <w:next w:val="Normal"/>
    <w:semiHidden/>
    <w:pPr>
      <w:ind w:left="480" w:hanging="480"/>
    </w:pPr>
  </w:style>
  <w:style w:type="character" w:styleId="FollowedHyperlink">
    <w:name w:val="FollowedHyperlink"/>
    <w:rPr>
      <w:color w:val="800080"/>
      <w:u w:val="single"/>
    </w:rPr>
  </w:style>
  <w:style w:type="paragraph" w:styleId="E-mailSignature">
    <w:name w:val="E-mail Signature"/>
    <w:basedOn w:val="Normal"/>
  </w:style>
  <w:style w:type="paragraph" w:styleId="BalloonText">
    <w:name w:val="Balloon Text"/>
    <w:basedOn w:val="Normal"/>
    <w:semiHidden/>
    <w:rPr>
      <w:rFonts w:ascii="Tahoma" w:hAnsi="Tahoma" w:cs="Tahoma"/>
      <w:sz w:val="16"/>
      <w:szCs w:val="16"/>
    </w:rPr>
  </w:style>
  <w:style w:type="paragraph" w:styleId="List">
    <w:name w:val="List"/>
    <w:basedOn w:val="Normal"/>
    <w:next w:val="Index3"/>
    <w:pPr>
      <w:ind w:left="360" w:hanging="360"/>
    </w:pPr>
  </w:style>
  <w:style w:type="paragraph" w:styleId="Index3">
    <w:name w:val="index 3"/>
    <w:basedOn w:val="Normal"/>
    <w:next w:val="Normal"/>
    <w:autoRedefine/>
    <w:semiHidden/>
    <w:pPr>
      <w:numPr>
        <w:numId w:val="2"/>
      </w:numPr>
    </w:pPr>
    <w:rPr>
      <w:szCs w:val="22"/>
    </w:rPr>
  </w:style>
  <w:style w:type="paragraph" w:styleId="List2">
    <w:name w:val="List 2"/>
    <w:basedOn w:val="Normal"/>
    <w:pPr>
      <w:ind w:left="720" w:hanging="360"/>
    </w:pPr>
  </w:style>
  <w:style w:type="paragraph" w:customStyle="1" w:styleId="BodyTextFirstIndent3">
    <w:name w:val="Body Text First Indent 3"/>
    <w:basedOn w:val="Normal"/>
    <w:pPr>
      <w:ind w:left="480" w:firstLine="480"/>
      <w:jc w:val="both"/>
    </w:pPr>
  </w:style>
  <w:style w:type="paragraph" w:styleId="PlainText">
    <w:name w:val="Plain Text"/>
    <w:basedOn w:val="Normal"/>
    <w:rPr>
      <w:rFonts w:ascii="Courier New" w:hAnsi="Courier New"/>
      <w:sz w:val="20"/>
    </w:rPr>
  </w:style>
  <w:style w:type="paragraph" w:customStyle="1" w:styleId="ShortReturnAddress">
    <w:name w:val="Short Return Address"/>
    <w:basedOn w:val="Normal"/>
  </w:style>
  <w:style w:type="paragraph" w:styleId="Subtitle">
    <w:name w:val="Subtitle"/>
    <w:basedOn w:val="Normal"/>
    <w:qFormat/>
    <w:rPr>
      <w:b/>
      <w:bCs/>
      <w:sz w:val="32"/>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Bullet">
    <w:name w:val="Bullet"/>
    <w:basedOn w:val="Normal"/>
    <w:autoRedefine/>
    <w:rsid w:val="00FB5963"/>
    <w:pPr>
      <w:spacing w:before="80"/>
      <w:jc w:val="both"/>
    </w:pPr>
  </w:style>
  <w:style w:type="paragraph" w:customStyle="1" w:styleId="initsectionrow">
    <w:name w:val="initsectionrow"/>
    <w:basedOn w:val="Normal"/>
    <w:pPr>
      <w:shd w:val="clear" w:color="auto" w:fill="000000"/>
      <w:spacing w:before="100" w:beforeAutospacing="1" w:after="100" w:afterAutospacing="1"/>
    </w:pPr>
    <w:rPr>
      <w:rFonts w:ascii="Verdana" w:hAnsi="Verdana"/>
      <w:b/>
      <w:bCs/>
      <w:color w:val="000000"/>
      <w:sz w:val="16"/>
      <w:szCs w:val="16"/>
    </w:rPr>
  </w:style>
  <w:style w:type="table" w:styleId="TableSimple3">
    <w:name w:val="Table Simple 3"/>
    <w:basedOn w:val="TableNormal"/>
    <w:rsid w:val="00EB462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link w:val="CommentSubjectChar"/>
    <w:rsid w:val="00EB4627"/>
    <w:pPr>
      <w:jc w:val="both"/>
    </w:pPr>
    <w:rPr>
      <w:bCs/>
      <w:szCs w:val="20"/>
    </w:rPr>
  </w:style>
  <w:style w:type="character" w:customStyle="1" w:styleId="CommentTextChar">
    <w:name w:val="Comment Text Char"/>
    <w:link w:val="CommentText"/>
    <w:semiHidden/>
    <w:rsid w:val="00EB4627"/>
    <w:rPr>
      <w:b/>
      <w:szCs w:val="24"/>
    </w:rPr>
  </w:style>
  <w:style w:type="character" w:customStyle="1" w:styleId="CommentSubjectChar">
    <w:name w:val="Comment Subject Char"/>
    <w:basedOn w:val="CommentTextChar"/>
    <w:link w:val="CommentSubject"/>
    <w:rsid w:val="00EB4627"/>
    <w:rPr>
      <w:b/>
      <w:szCs w:val="24"/>
    </w:rPr>
  </w:style>
  <w:style w:type="table" w:styleId="TableGrid">
    <w:name w:val="Table Grid"/>
    <w:basedOn w:val="TableNormal"/>
    <w:rsid w:val="00EB46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ED2"/>
    <w:pPr>
      <w:ind w:left="720"/>
      <w:contextualSpacing/>
    </w:pPr>
  </w:style>
  <w:style w:type="character" w:customStyle="1" w:styleId="apple-style-span">
    <w:name w:val="apple-style-span"/>
    <w:basedOn w:val="DefaultParagraphFont"/>
    <w:rsid w:val="0068645E"/>
  </w:style>
  <w:style w:type="paragraph" w:styleId="Revision">
    <w:name w:val="Revision"/>
    <w:hidden/>
    <w:uiPriority w:val="99"/>
    <w:semiHidden/>
    <w:rsid w:val="00A91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9461">
      <w:bodyDiv w:val="1"/>
      <w:marLeft w:val="0"/>
      <w:marRight w:val="0"/>
      <w:marTop w:val="0"/>
      <w:marBottom w:val="0"/>
      <w:divBdr>
        <w:top w:val="none" w:sz="0" w:space="0" w:color="auto"/>
        <w:left w:val="none" w:sz="0" w:space="0" w:color="auto"/>
        <w:bottom w:val="none" w:sz="0" w:space="0" w:color="auto"/>
        <w:right w:val="none" w:sz="0" w:space="0" w:color="auto"/>
      </w:divBdr>
    </w:div>
    <w:div w:id="354691666">
      <w:bodyDiv w:val="1"/>
      <w:marLeft w:val="0"/>
      <w:marRight w:val="0"/>
      <w:marTop w:val="0"/>
      <w:marBottom w:val="0"/>
      <w:divBdr>
        <w:top w:val="none" w:sz="0" w:space="0" w:color="auto"/>
        <w:left w:val="none" w:sz="0" w:space="0" w:color="auto"/>
        <w:bottom w:val="none" w:sz="0" w:space="0" w:color="auto"/>
        <w:right w:val="none" w:sz="0" w:space="0" w:color="auto"/>
      </w:divBdr>
    </w:div>
    <w:div w:id="962619753">
      <w:bodyDiv w:val="1"/>
      <w:marLeft w:val="0"/>
      <w:marRight w:val="0"/>
      <w:marTop w:val="0"/>
      <w:marBottom w:val="0"/>
      <w:divBdr>
        <w:top w:val="none" w:sz="0" w:space="0" w:color="auto"/>
        <w:left w:val="none" w:sz="0" w:space="0" w:color="auto"/>
        <w:bottom w:val="none" w:sz="0" w:space="0" w:color="auto"/>
        <w:right w:val="none" w:sz="0" w:space="0" w:color="auto"/>
      </w:divBdr>
    </w:div>
    <w:div w:id="966669473">
      <w:bodyDiv w:val="1"/>
      <w:marLeft w:val="0"/>
      <w:marRight w:val="0"/>
      <w:marTop w:val="0"/>
      <w:marBottom w:val="0"/>
      <w:divBdr>
        <w:top w:val="none" w:sz="0" w:space="0" w:color="auto"/>
        <w:left w:val="none" w:sz="0" w:space="0" w:color="auto"/>
        <w:bottom w:val="none" w:sz="0" w:space="0" w:color="auto"/>
        <w:right w:val="none" w:sz="0" w:space="0" w:color="auto"/>
      </w:divBdr>
    </w:div>
    <w:div w:id="1020082020">
      <w:bodyDiv w:val="1"/>
      <w:marLeft w:val="0"/>
      <w:marRight w:val="0"/>
      <w:marTop w:val="0"/>
      <w:marBottom w:val="0"/>
      <w:divBdr>
        <w:top w:val="none" w:sz="0" w:space="0" w:color="auto"/>
        <w:left w:val="none" w:sz="0" w:space="0" w:color="auto"/>
        <w:bottom w:val="none" w:sz="0" w:space="0" w:color="auto"/>
        <w:right w:val="none" w:sz="0" w:space="0" w:color="auto"/>
      </w:divBdr>
    </w:div>
    <w:div w:id="1175144138">
      <w:bodyDiv w:val="1"/>
      <w:marLeft w:val="0"/>
      <w:marRight w:val="0"/>
      <w:marTop w:val="0"/>
      <w:marBottom w:val="0"/>
      <w:divBdr>
        <w:top w:val="none" w:sz="0" w:space="0" w:color="auto"/>
        <w:left w:val="none" w:sz="0" w:space="0" w:color="auto"/>
        <w:bottom w:val="none" w:sz="0" w:space="0" w:color="auto"/>
        <w:right w:val="none" w:sz="0" w:space="0" w:color="auto"/>
      </w:divBdr>
    </w:div>
    <w:div w:id="1601403632">
      <w:bodyDiv w:val="1"/>
      <w:marLeft w:val="0"/>
      <w:marRight w:val="0"/>
      <w:marTop w:val="0"/>
      <w:marBottom w:val="0"/>
      <w:divBdr>
        <w:top w:val="none" w:sz="0" w:space="0" w:color="auto"/>
        <w:left w:val="none" w:sz="0" w:space="0" w:color="auto"/>
        <w:bottom w:val="none" w:sz="0" w:space="0" w:color="auto"/>
        <w:right w:val="none" w:sz="0" w:space="0" w:color="auto"/>
      </w:divBdr>
    </w:div>
    <w:div w:id="1853103263">
      <w:bodyDiv w:val="1"/>
      <w:marLeft w:val="0"/>
      <w:marRight w:val="0"/>
      <w:marTop w:val="0"/>
      <w:marBottom w:val="0"/>
      <w:divBdr>
        <w:top w:val="none" w:sz="0" w:space="0" w:color="auto"/>
        <w:left w:val="none" w:sz="0" w:space="0" w:color="auto"/>
        <w:bottom w:val="none" w:sz="0" w:space="0" w:color="auto"/>
        <w:right w:val="none" w:sz="0" w:space="0" w:color="auto"/>
      </w:divBdr>
    </w:div>
    <w:div w:id="1986278468">
      <w:bodyDiv w:val="1"/>
      <w:marLeft w:val="0"/>
      <w:marRight w:val="0"/>
      <w:marTop w:val="0"/>
      <w:marBottom w:val="0"/>
      <w:divBdr>
        <w:top w:val="none" w:sz="0" w:space="0" w:color="auto"/>
        <w:left w:val="none" w:sz="0" w:space="0" w:color="auto"/>
        <w:bottom w:val="none" w:sz="0" w:space="0" w:color="auto"/>
        <w:right w:val="none" w:sz="0" w:space="0" w:color="auto"/>
      </w:divBdr>
    </w:div>
    <w:div w:id="2017151657">
      <w:bodyDiv w:val="1"/>
      <w:marLeft w:val="0"/>
      <w:marRight w:val="0"/>
      <w:marTop w:val="0"/>
      <w:marBottom w:val="0"/>
      <w:divBdr>
        <w:top w:val="none" w:sz="0" w:space="0" w:color="auto"/>
        <w:left w:val="none" w:sz="0" w:space="0" w:color="auto"/>
        <w:bottom w:val="none" w:sz="0" w:space="0" w:color="auto"/>
        <w:right w:val="none" w:sz="0" w:space="0" w:color="auto"/>
      </w:divBdr>
    </w:div>
    <w:div w:id="20310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0622-1F5D-4EEE-A6AF-F23B7205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20886</CharactersWithSpaces>
  <SharedDoc>false</SharedDoc>
  <HLinks>
    <vt:vector size="120" baseType="variant">
      <vt:variant>
        <vt:i4>1507378</vt:i4>
      </vt:variant>
      <vt:variant>
        <vt:i4>116</vt:i4>
      </vt:variant>
      <vt:variant>
        <vt:i4>0</vt:i4>
      </vt:variant>
      <vt:variant>
        <vt:i4>5</vt:i4>
      </vt:variant>
      <vt:variant>
        <vt:lpwstr/>
      </vt:variant>
      <vt:variant>
        <vt:lpwstr>_Toc353103278</vt:lpwstr>
      </vt:variant>
      <vt:variant>
        <vt:i4>1507378</vt:i4>
      </vt:variant>
      <vt:variant>
        <vt:i4>110</vt:i4>
      </vt:variant>
      <vt:variant>
        <vt:i4>0</vt:i4>
      </vt:variant>
      <vt:variant>
        <vt:i4>5</vt:i4>
      </vt:variant>
      <vt:variant>
        <vt:lpwstr/>
      </vt:variant>
      <vt:variant>
        <vt:lpwstr>_Toc353103277</vt:lpwstr>
      </vt:variant>
      <vt:variant>
        <vt:i4>1507378</vt:i4>
      </vt:variant>
      <vt:variant>
        <vt:i4>104</vt:i4>
      </vt:variant>
      <vt:variant>
        <vt:i4>0</vt:i4>
      </vt:variant>
      <vt:variant>
        <vt:i4>5</vt:i4>
      </vt:variant>
      <vt:variant>
        <vt:lpwstr/>
      </vt:variant>
      <vt:variant>
        <vt:lpwstr>_Toc353103276</vt:lpwstr>
      </vt:variant>
      <vt:variant>
        <vt:i4>1507378</vt:i4>
      </vt:variant>
      <vt:variant>
        <vt:i4>98</vt:i4>
      </vt:variant>
      <vt:variant>
        <vt:i4>0</vt:i4>
      </vt:variant>
      <vt:variant>
        <vt:i4>5</vt:i4>
      </vt:variant>
      <vt:variant>
        <vt:lpwstr/>
      </vt:variant>
      <vt:variant>
        <vt:lpwstr>_Toc353103275</vt:lpwstr>
      </vt:variant>
      <vt:variant>
        <vt:i4>1507378</vt:i4>
      </vt:variant>
      <vt:variant>
        <vt:i4>92</vt:i4>
      </vt:variant>
      <vt:variant>
        <vt:i4>0</vt:i4>
      </vt:variant>
      <vt:variant>
        <vt:i4>5</vt:i4>
      </vt:variant>
      <vt:variant>
        <vt:lpwstr/>
      </vt:variant>
      <vt:variant>
        <vt:lpwstr>_Toc353103274</vt:lpwstr>
      </vt:variant>
      <vt:variant>
        <vt:i4>1507378</vt:i4>
      </vt:variant>
      <vt:variant>
        <vt:i4>86</vt:i4>
      </vt:variant>
      <vt:variant>
        <vt:i4>0</vt:i4>
      </vt:variant>
      <vt:variant>
        <vt:i4>5</vt:i4>
      </vt:variant>
      <vt:variant>
        <vt:lpwstr/>
      </vt:variant>
      <vt:variant>
        <vt:lpwstr>_Toc353103273</vt:lpwstr>
      </vt:variant>
      <vt:variant>
        <vt:i4>1507378</vt:i4>
      </vt:variant>
      <vt:variant>
        <vt:i4>80</vt:i4>
      </vt:variant>
      <vt:variant>
        <vt:i4>0</vt:i4>
      </vt:variant>
      <vt:variant>
        <vt:i4>5</vt:i4>
      </vt:variant>
      <vt:variant>
        <vt:lpwstr/>
      </vt:variant>
      <vt:variant>
        <vt:lpwstr>_Toc353103272</vt:lpwstr>
      </vt:variant>
      <vt:variant>
        <vt:i4>1507378</vt:i4>
      </vt:variant>
      <vt:variant>
        <vt:i4>74</vt:i4>
      </vt:variant>
      <vt:variant>
        <vt:i4>0</vt:i4>
      </vt:variant>
      <vt:variant>
        <vt:i4>5</vt:i4>
      </vt:variant>
      <vt:variant>
        <vt:lpwstr/>
      </vt:variant>
      <vt:variant>
        <vt:lpwstr>_Toc353103271</vt:lpwstr>
      </vt:variant>
      <vt:variant>
        <vt:i4>1507378</vt:i4>
      </vt:variant>
      <vt:variant>
        <vt:i4>68</vt:i4>
      </vt:variant>
      <vt:variant>
        <vt:i4>0</vt:i4>
      </vt:variant>
      <vt:variant>
        <vt:i4>5</vt:i4>
      </vt:variant>
      <vt:variant>
        <vt:lpwstr/>
      </vt:variant>
      <vt:variant>
        <vt:lpwstr>_Toc353103270</vt:lpwstr>
      </vt:variant>
      <vt:variant>
        <vt:i4>1441842</vt:i4>
      </vt:variant>
      <vt:variant>
        <vt:i4>62</vt:i4>
      </vt:variant>
      <vt:variant>
        <vt:i4>0</vt:i4>
      </vt:variant>
      <vt:variant>
        <vt:i4>5</vt:i4>
      </vt:variant>
      <vt:variant>
        <vt:lpwstr/>
      </vt:variant>
      <vt:variant>
        <vt:lpwstr>_Toc353103269</vt:lpwstr>
      </vt:variant>
      <vt:variant>
        <vt:i4>1441842</vt:i4>
      </vt:variant>
      <vt:variant>
        <vt:i4>56</vt:i4>
      </vt:variant>
      <vt:variant>
        <vt:i4>0</vt:i4>
      </vt:variant>
      <vt:variant>
        <vt:i4>5</vt:i4>
      </vt:variant>
      <vt:variant>
        <vt:lpwstr/>
      </vt:variant>
      <vt:variant>
        <vt:lpwstr>_Toc353103268</vt:lpwstr>
      </vt:variant>
      <vt:variant>
        <vt:i4>1441842</vt:i4>
      </vt:variant>
      <vt:variant>
        <vt:i4>50</vt:i4>
      </vt:variant>
      <vt:variant>
        <vt:i4>0</vt:i4>
      </vt:variant>
      <vt:variant>
        <vt:i4>5</vt:i4>
      </vt:variant>
      <vt:variant>
        <vt:lpwstr/>
      </vt:variant>
      <vt:variant>
        <vt:lpwstr>_Toc353103267</vt:lpwstr>
      </vt:variant>
      <vt:variant>
        <vt:i4>1441842</vt:i4>
      </vt:variant>
      <vt:variant>
        <vt:i4>44</vt:i4>
      </vt:variant>
      <vt:variant>
        <vt:i4>0</vt:i4>
      </vt:variant>
      <vt:variant>
        <vt:i4>5</vt:i4>
      </vt:variant>
      <vt:variant>
        <vt:lpwstr/>
      </vt:variant>
      <vt:variant>
        <vt:lpwstr>_Toc353103266</vt:lpwstr>
      </vt:variant>
      <vt:variant>
        <vt:i4>1441842</vt:i4>
      </vt:variant>
      <vt:variant>
        <vt:i4>38</vt:i4>
      </vt:variant>
      <vt:variant>
        <vt:i4>0</vt:i4>
      </vt:variant>
      <vt:variant>
        <vt:i4>5</vt:i4>
      </vt:variant>
      <vt:variant>
        <vt:lpwstr/>
      </vt:variant>
      <vt:variant>
        <vt:lpwstr>_Toc353103265</vt:lpwstr>
      </vt:variant>
      <vt:variant>
        <vt:i4>1441842</vt:i4>
      </vt:variant>
      <vt:variant>
        <vt:i4>32</vt:i4>
      </vt:variant>
      <vt:variant>
        <vt:i4>0</vt:i4>
      </vt:variant>
      <vt:variant>
        <vt:i4>5</vt:i4>
      </vt:variant>
      <vt:variant>
        <vt:lpwstr/>
      </vt:variant>
      <vt:variant>
        <vt:lpwstr>_Toc353103264</vt:lpwstr>
      </vt:variant>
      <vt:variant>
        <vt:i4>1441842</vt:i4>
      </vt:variant>
      <vt:variant>
        <vt:i4>26</vt:i4>
      </vt:variant>
      <vt:variant>
        <vt:i4>0</vt:i4>
      </vt:variant>
      <vt:variant>
        <vt:i4>5</vt:i4>
      </vt:variant>
      <vt:variant>
        <vt:lpwstr/>
      </vt:variant>
      <vt:variant>
        <vt:lpwstr>_Toc353103263</vt:lpwstr>
      </vt:variant>
      <vt:variant>
        <vt:i4>1441842</vt:i4>
      </vt:variant>
      <vt:variant>
        <vt:i4>20</vt:i4>
      </vt:variant>
      <vt:variant>
        <vt:i4>0</vt:i4>
      </vt:variant>
      <vt:variant>
        <vt:i4>5</vt:i4>
      </vt:variant>
      <vt:variant>
        <vt:lpwstr/>
      </vt:variant>
      <vt:variant>
        <vt:lpwstr>_Toc353103262</vt:lpwstr>
      </vt:variant>
      <vt:variant>
        <vt:i4>1441842</vt:i4>
      </vt:variant>
      <vt:variant>
        <vt:i4>14</vt:i4>
      </vt:variant>
      <vt:variant>
        <vt:i4>0</vt:i4>
      </vt:variant>
      <vt:variant>
        <vt:i4>5</vt:i4>
      </vt:variant>
      <vt:variant>
        <vt:lpwstr/>
      </vt:variant>
      <vt:variant>
        <vt:lpwstr>_Toc353103261</vt:lpwstr>
      </vt:variant>
      <vt:variant>
        <vt:i4>1441842</vt:i4>
      </vt:variant>
      <vt:variant>
        <vt:i4>8</vt:i4>
      </vt:variant>
      <vt:variant>
        <vt:i4>0</vt:i4>
      </vt:variant>
      <vt:variant>
        <vt:i4>5</vt:i4>
      </vt:variant>
      <vt:variant>
        <vt:lpwstr/>
      </vt:variant>
      <vt:variant>
        <vt:lpwstr>_Toc353103260</vt:lpwstr>
      </vt:variant>
      <vt:variant>
        <vt:i4>1376306</vt:i4>
      </vt:variant>
      <vt:variant>
        <vt:i4>2</vt:i4>
      </vt:variant>
      <vt:variant>
        <vt:i4>0</vt:i4>
      </vt:variant>
      <vt:variant>
        <vt:i4>5</vt:i4>
      </vt:variant>
      <vt:variant>
        <vt:lpwstr/>
      </vt:variant>
      <vt:variant>
        <vt:lpwstr>_Toc353103259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2023-03-28T13:37:00Z</dcterms:created>
  <dcterms:modified xsi:type="dcterms:W3CDTF">2023-03-28T13:39:00Z</dcterms:modified>
</cp:coreProperties>
</file>